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69B706" w14:textId="354E97FA" w:rsidR="001100CD" w:rsidRDefault="00B61319" w:rsidP="00B61319">
      <w:r>
        <w:t>Módulo 2 : Ética, Regulamentação e API</w:t>
      </w:r>
    </w:p>
    <w:p w14:paraId="062263A9" w14:textId="77777777" w:rsidR="00B61319" w:rsidRDefault="00B61319" w:rsidP="00B61319">
      <w:r>
        <w:t>Risco Legal</w:t>
      </w:r>
    </w:p>
    <w:p w14:paraId="2CC2B3A7" w14:textId="6686312D" w:rsidR="00B61319" w:rsidRDefault="00B61319" w:rsidP="00B61319">
      <w:r>
        <w:t>No tópico anterior, quando falamos sobre controles internos, eu listei, entre outras atividades da área de controles internos, a função de prever meios de identificar e avaliar fatores internos e externos que possam afetar adversamente a realização dos objetivos da instituição. Esses fatores internos e externos podem ser traduzidos em riscos e, para esse tópico, vamos abordar o Risco Legal</w:t>
      </w:r>
    </w:p>
    <w:p w14:paraId="04D252CD" w14:textId="77777777" w:rsidR="00B61319" w:rsidRDefault="00B61319" w:rsidP="00B61319">
      <w:r>
        <w:t>O Risco Legal é o risco de perda quando a instituição não pode executar os termos de um contrato. Isso inclui os riscos provenientes de documentação insuficiente, falta de poderes dos representantes da contraparte para assumir o compromisso, desconhecimento de algum aspecto jurídico relevante, gerando a incapacidade de se implementar uma cobrança por falta de amparo legal.</w:t>
      </w:r>
    </w:p>
    <w:p w14:paraId="2B6E26F7" w14:textId="77777777" w:rsidR="00B61319" w:rsidRDefault="00B61319" w:rsidP="00B61319">
      <w:r>
        <w:t>Por exemplo, se a instituição faz um empréstimo de recursos a clientes que possuem garantias amplas, porém, eles não possuem a documentação da operação calçada em instrumentos legais corretos, ou com a documentação incompleta, ou até com falta de assinaturas e as pessoas que assinaram não são os reais representantes, no caso do tomador ser uma empresa</w:t>
      </w:r>
    </w:p>
    <w:p w14:paraId="270563D2" w14:textId="77777777" w:rsidR="00B61319" w:rsidRDefault="00B61319" w:rsidP="00B61319">
      <w:r>
        <w:t>Podemos aí resumir o tema de Risco Legal pelo princípio da legalidade. Ou seja, a área de controles internos vai estabelecer procedimentos operacionais e jurídicos para que todas as operações realizadas entre a instituição e seus clientes estejam, juridicamente, bem respaldadas.</w:t>
      </w:r>
    </w:p>
    <w:p w14:paraId="0311C912" w14:textId="77777777" w:rsidR="00B61319" w:rsidRDefault="00B61319" w:rsidP="00B61319">
      <w:r>
        <w:t xml:space="preserve">Risco de Imagem </w:t>
      </w:r>
    </w:p>
    <w:p w14:paraId="372E6C45" w14:textId="77777777" w:rsidR="00B61319" w:rsidRDefault="00B61319" w:rsidP="00B61319">
      <w:r>
        <w:t>Ainda sobre os fatores internos e externos que possam afetar adversamente a realização dos objetivos da instituição, também temos de destacar o Risco de Imagem. Esse risco está associado à reputação da Instituição Financeira junto ao mercado.</w:t>
      </w:r>
    </w:p>
    <w:p w14:paraId="109D3573" w14:textId="77777777" w:rsidR="00B61319" w:rsidRDefault="00B61319" w:rsidP="00B61319">
      <w:r>
        <w:t>O Risco de Imagem pode danificar o negócio de uma instituição de muitas formas, como por exemplo, a queda no valor da ação, perda do apoio da clientela e desaparecimento de oportunidades de negócios.</w:t>
      </w:r>
    </w:p>
    <w:p w14:paraId="0C5C26A9" w14:textId="77777777" w:rsidR="00B61319" w:rsidRDefault="00B61319" w:rsidP="00B61319">
      <w:r>
        <w:t>Os maiores bancos do país investem, ano após ano, milhões de reais em publicidade nos meios de comunicação em massa para levar ao mercado a imagem de segurança, solidez e crescimento. Esse tipo de publicidade ajuda a fortalecer a imagem da instituição junto ao mercado. Alguns dizem que “são feitos para você”, outros dirão que têm “presença”, e ainda há aquele que pergunta “o que posso fazer por você hoje?”.</w:t>
      </w:r>
    </w:p>
    <w:p w14:paraId="33F0F92F" w14:textId="77777777" w:rsidR="00B61319" w:rsidRDefault="00B61319" w:rsidP="00B61319">
      <w:r>
        <w:t>Invariavelmente, esses bancos querem fortalecer sua imagem e reputação junto ao mercado por uma razão muito simples: você seria capaz de investir seu dinheiro em uma instituição em que não confia?</w:t>
      </w:r>
    </w:p>
    <w:p w14:paraId="5AE5C7B7" w14:textId="77777777" w:rsidR="00B61319" w:rsidRDefault="00B61319" w:rsidP="00B61319">
      <w:r>
        <w:t>Bem, a julgar pelo investimento feito pelas Instituições Financeiras, podemos concluir que um problema de reputação no mercado traria grandes prejuízos à instituição.</w:t>
      </w:r>
    </w:p>
    <w:p w14:paraId="7038F406" w14:textId="77777777" w:rsidR="00B61319" w:rsidRDefault="00B61319" w:rsidP="00B61319">
      <w:r>
        <w:t xml:space="preserve">Alguns fatores que podem prejudicar a imagem da instituição junto ao mercado: </w:t>
      </w:r>
    </w:p>
    <w:p w14:paraId="343EA251" w14:textId="77777777" w:rsidR="00B61319" w:rsidRDefault="00B61319" w:rsidP="00B61319">
      <w:r>
        <w:t xml:space="preserve"> fornecimento de crédito sem embasamento;</w:t>
      </w:r>
    </w:p>
    <w:p w14:paraId="43DBC1DC" w14:textId="17104726" w:rsidR="00B61319" w:rsidRDefault="00B61319" w:rsidP="00B61319">
      <w:r>
        <w:rPr>
          <w:rFonts w:ascii="Segoe UI Symbol" w:hAnsi="Segoe UI Symbol" w:cs="Segoe UI Symbol"/>
        </w:rPr>
        <w:t>⯀</w:t>
      </w:r>
      <w:r>
        <w:t xml:space="preserve"> vantagens devido a relacionamentos políticos; </w:t>
      </w:r>
    </w:p>
    <w:p w14:paraId="4D4C6FF5" w14:textId="5BE5EEBE" w:rsidR="00B61319" w:rsidRDefault="00B61319" w:rsidP="00B61319">
      <w:r>
        <w:rPr>
          <w:rFonts w:ascii="Segoe UI Symbol" w:hAnsi="Segoe UI Symbol" w:cs="Segoe UI Symbol"/>
        </w:rPr>
        <w:lastRenderedPageBreak/>
        <w:t>⯀</w:t>
      </w:r>
      <w:r>
        <w:t xml:space="preserve"> indícios de lavagem de dinheiro; </w:t>
      </w:r>
    </w:p>
    <w:p w14:paraId="48E3575D" w14:textId="0EFB5B30" w:rsidR="00B61319" w:rsidRDefault="00B61319" w:rsidP="00B61319">
      <w:r>
        <w:rPr>
          <w:rFonts w:ascii="Segoe UI Symbol" w:hAnsi="Segoe UI Symbol" w:cs="Segoe UI Symbol"/>
        </w:rPr>
        <w:t>⯀</w:t>
      </w:r>
      <w:r>
        <w:t xml:space="preserve"> fama de atender mal os clientes; </w:t>
      </w:r>
    </w:p>
    <w:p w14:paraId="67C3A78E" w14:textId="0DD06690" w:rsidR="00B61319" w:rsidRDefault="00B61319" w:rsidP="00B61319">
      <w:r>
        <w:rPr>
          <w:rFonts w:ascii="Segoe UI Symbol" w:hAnsi="Segoe UI Symbol" w:cs="Segoe UI Symbol"/>
        </w:rPr>
        <w:t>⯀</w:t>
      </w:r>
      <w:r>
        <w:t xml:space="preserve"> falta de respeito ao meio ambiente</w:t>
      </w:r>
    </w:p>
    <w:p w14:paraId="23292EA9" w14:textId="45545C49" w:rsidR="00B61319" w:rsidRDefault="00B61319" w:rsidP="00B61319">
      <w:r>
        <w:rPr>
          <w:rFonts w:ascii="Segoe UI Symbol" w:hAnsi="Segoe UI Symbol" w:cs="Segoe UI Symbol"/>
        </w:rPr>
        <w:t>⯀</w:t>
      </w:r>
      <w:r>
        <w:t xml:space="preserve"> situação financeira instável ou vulnerável;</w:t>
      </w:r>
    </w:p>
    <w:p w14:paraId="4F3B6997" w14:textId="7C595590" w:rsidR="00B61319" w:rsidRDefault="00B61319" w:rsidP="00B61319">
      <w:r>
        <w:rPr>
          <w:noProof/>
        </w:rPr>
        <w:drawing>
          <wp:inline distT="0" distB="0" distL="0" distR="0" wp14:anchorId="7E4485FE" wp14:editId="4438F3B3">
            <wp:extent cx="5400040" cy="2933065"/>
            <wp:effectExtent l="0" t="0" r="0" b="63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00040" cy="2933065"/>
                    </a:xfrm>
                    <a:prstGeom prst="rect">
                      <a:avLst/>
                    </a:prstGeom>
                    <a:noFill/>
                    <a:ln>
                      <a:noFill/>
                    </a:ln>
                  </pic:spPr>
                </pic:pic>
              </a:graphicData>
            </a:graphic>
          </wp:inline>
        </w:drawing>
      </w:r>
    </w:p>
    <w:p w14:paraId="0A347FDC" w14:textId="7DBFFCA7" w:rsidR="00DF62C6" w:rsidRDefault="00DF62C6" w:rsidP="00B61319">
      <w:r w:rsidRPr="00DF62C6">
        <w:t xml:space="preserve">Conceito de Lavagem de Dinheiro </w:t>
      </w:r>
      <w:r>
        <w:t>–</w:t>
      </w:r>
      <w:r w:rsidRPr="00DF62C6">
        <w:t xml:space="preserve"> Legislação</w:t>
      </w:r>
    </w:p>
    <w:p w14:paraId="6881D8A2" w14:textId="77777777" w:rsidR="00DF62C6" w:rsidRDefault="00DF62C6" w:rsidP="00DF62C6">
      <w:r>
        <w:t>CONCEITO DE LAVAGEM DE DINHEIRO</w:t>
      </w:r>
    </w:p>
    <w:p w14:paraId="0EB17A40" w14:textId="17338CF6" w:rsidR="00DF62C6" w:rsidRDefault="00DF62C6" w:rsidP="00DF62C6">
      <w:r>
        <w:t>Em termos simples, a Lavagem de Dinheiro corresponde à prática pela qual se inserem na economia formal recursos decorrentes de atividades ilícitas, por meio da ocultação ou dissimulação de sua verdadeira origem.</w:t>
      </w:r>
    </w:p>
    <w:p w14:paraId="5752211F" w14:textId="77777777" w:rsidR="00DF62C6" w:rsidRDefault="00DF62C6" w:rsidP="00DF62C6">
      <w:r>
        <w:t>Fases da lavagem de dinheiro</w:t>
      </w:r>
    </w:p>
    <w:p w14:paraId="5B553526" w14:textId="77777777" w:rsidR="00DF62C6" w:rsidRDefault="00DF62C6" w:rsidP="00DF62C6">
      <w:r>
        <w:t>Em sua forma mais recorrente, a Lavagem de Dinheiro envolve três etapas independentes, que muitas vezes ocorrem de forma sequencial ou simultânea</w:t>
      </w:r>
    </w:p>
    <w:p w14:paraId="5CC4CE01" w14:textId="77777777" w:rsidR="00DF62C6" w:rsidRDefault="00DF62C6" w:rsidP="00DF62C6">
      <w:r>
        <w:rPr>
          <w:rFonts w:ascii="Segoe UI Symbol" w:hAnsi="Segoe UI Symbol" w:cs="Segoe UI Symbol"/>
        </w:rPr>
        <w:t>⯀</w:t>
      </w:r>
      <w:r>
        <w:t xml:space="preserve"> Colocação: a primeira etapa do processo é a inserção do dinheiro no sistema econômico. A colocação se efetua por meio de depósitos, compra de instrumentos negociáveis ou compra de bens. Para dificultar a identificação da procedência do dinheiro, os criminosos aplicam técnicas sofisticadas, tais como o fracionamento dos valores em quantias menores e a utilização de estabelecimentos comerciais que usualmente trabalham com dinheiro em espécie; </w:t>
      </w:r>
    </w:p>
    <w:p w14:paraId="358B2AF9" w14:textId="77777777" w:rsidR="00DF62C6" w:rsidRDefault="00DF62C6" w:rsidP="00DF62C6">
      <w:r>
        <w:rPr>
          <w:rFonts w:ascii="Segoe UI Symbol" w:hAnsi="Segoe UI Symbol" w:cs="Segoe UI Symbol"/>
        </w:rPr>
        <w:t>⯀</w:t>
      </w:r>
      <w:r>
        <w:t xml:space="preserve"> Ocultação: a segunda etapa do processo consiste em dificultar o rastreamento contábil dos recursos ilícitos. O objetivo é quebrar a cadeia de evidências que conecta o dinheiro à sua origem ilícita. Os criminosos buscam movimentá-lo de forma eletrônica, transferindo os ativos para contas anônimas, preferencialmente em países amparados por fortes leis de sigilo bancário;</w:t>
      </w:r>
    </w:p>
    <w:p w14:paraId="6636B2F0" w14:textId="158AFC4B" w:rsidR="00DF62C6" w:rsidRDefault="00DF62C6" w:rsidP="00DF62C6">
      <w:r>
        <w:rPr>
          <w:rFonts w:ascii="Segoe UI Symbol" w:hAnsi="Segoe UI Symbol" w:cs="Segoe UI Symbol"/>
        </w:rPr>
        <w:t>⯀</w:t>
      </w:r>
      <w:r>
        <w:t xml:space="preserve"> Integração: na última etapa, os ativos são incorporados formalmente ao sistema econômico. As organizações criminosas buscam investir em empreendimentos que facilitem </w:t>
      </w:r>
      <w:r>
        <w:lastRenderedPageBreak/>
        <w:t>suas atividades – podendo tais sociedades prestarem serviços entre si. Uma vez formada a cadeia, torna-se cada vez mais fácil legitimar o dinheiro ilegal.</w:t>
      </w:r>
    </w:p>
    <w:p w14:paraId="30D16C2A" w14:textId="0FFD8604" w:rsidR="00DF62C6" w:rsidRDefault="00DF62C6" w:rsidP="00DF62C6">
      <w:r>
        <w:t>Na legislação brasileira, o conceito de Lavagem está expresso na Lei 9.613/98 que, em seu artigo 1°, conceitua o crime como “ocultar ou dissimular a natureza, origem, localização, disposição, movimentação ou propriedade de bens, direitos ou valores provenientes, direta ou indiretamente, de infração penal”.</w:t>
      </w:r>
    </w:p>
    <w:p w14:paraId="4D6AB0BA" w14:textId="0C0B06D9" w:rsidR="00DF62C6" w:rsidRDefault="00DF62C6" w:rsidP="00DF62C6">
      <w:r>
        <w:t>Contudo, é importante notar que o referido artigo, em seus parágrafos 1° e 2°, impõe as mesmas penas para quem: “(...)ocultar ou dissimular a utilização de bens, direitos ou valores provenientes de infração penal:</w:t>
      </w:r>
    </w:p>
    <w:p w14:paraId="63B8544B" w14:textId="1E125993" w:rsidR="00DF62C6" w:rsidRDefault="00DF62C6" w:rsidP="00DF62C6">
      <w:r>
        <w:rPr>
          <w:rFonts w:ascii="Segoe UI Symbol" w:hAnsi="Segoe UI Symbol" w:cs="Segoe UI Symbol"/>
        </w:rPr>
        <w:t>⯀</w:t>
      </w:r>
      <w:r>
        <w:t xml:space="preserve"> os converte em ativos lícitos; </w:t>
      </w:r>
    </w:p>
    <w:p w14:paraId="17A18282" w14:textId="41030C5B" w:rsidR="00DF62C6" w:rsidRDefault="00DF62C6" w:rsidP="00DF62C6">
      <w:r>
        <w:rPr>
          <w:rFonts w:ascii="Segoe UI Symbol" w:hAnsi="Segoe UI Symbol" w:cs="Segoe UI Symbol"/>
        </w:rPr>
        <w:t>⯀</w:t>
      </w:r>
      <w:r>
        <w:t xml:space="preserve"> os adquire, recebe, troca, negocia, dá ou recebe em garantia, guarda, tem em depósito, movimenta ou transfere;</w:t>
      </w:r>
    </w:p>
    <w:p w14:paraId="05479523" w14:textId="22E6B0AD" w:rsidR="00DF62C6" w:rsidRDefault="00DF62C6" w:rsidP="00DF62C6">
      <w:r>
        <w:rPr>
          <w:rFonts w:ascii="Segoe UI Symbol" w:hAnsi="Segoe UI Symbol" w:cs="Segoe UI Symbol"/>
        </w:rPr>
        <w:t>⯀</w:t>
      </w:r>
      <w:r>
        <w:t xml:space="preserve"> importa ou exporta bens com valores não correspondentes aos verdadeiros; </w:t>
      </w:r>
    </w:p>
    <w:p w14:paraId="420AE3DF" w14:textId="07149978" w:rsidR="00DF62C6" w:rsidRDefault="00DF62C6" w:rsidP="00DF62C6">
      <w:r>
        <w:rPr>
          <w:rFonts w:ascii="Segoe UI Symbol" w:hAnsi="Segoe UI Symbol" w:cs="Segoe UI Symbol"/>
        </w:rPr>
        <w:t>⯀</w:t>
      </w:r>
      <w:r>
        <w:t xml:space="preserve"> utiliza, na atividade econômica ou financeira, bens, direitos ou valores provenientes de infração penal;</w:t>
      </w:r>
    </w:p>
    <w:p w14:paraId="1ACCE525" w14:textId="6E029BB3" w:rsidR="00DF62C6" w:rsidRDefault="00DF62C6" w:rsidP="00DF62C6">
      <w:r>
        <w:rPr>
          <w:rFonts w:ascii="Segoe UI Symbol" w:hAnsi="Segoe UI Symbol" w:cs="Segoe UI Symbol"/>
        </w:rPr>
        <w:t>⯀</w:t>
      </w:r>
      <w:r>
        <w:t xml:space="preserve"> participa de grupo, associação ou escritório tendo conhecimento de que sua atividade principal ou secundária é dirigida à prática de crimes previstos nesta Lei.</w:t>
      </w:r>
    </w:p>
    <w:p w14:paraId="53458167" w14:textId="751C1DF5" w:rsidR="00DF62C6" w:rsidRDefault="00DF62C6" w:rsidP="00DF62C6">
      <w:r>
        <w:t xml:space="preserve">Resumindo: ficam sujeitos às punições aplicáveis aos crimes de lavagem de dinheiro todos que de alguma forma contribuem para qualquer uma das etapas tradicionais do processo de lavagem de dinheiro. </w:t>
      </w:r>
    </w:p>
    <w:p w14:paraId="53B28D98" w14:textId="52B62AA0" w:rsidR="00DF62C6" w:rsidRDefault="00DF62C6" w:rsidP="00DF62C6">
      <w:r>
        <w:t>No Brasil, o combate ao crime de Lavagem de Dinheiro é capitaneado pelo Conselho de Controle de Atividades Financeiras, o COAF.</w:t>
      </w:r>
    </w:p>
    <w:p w14:paraId="318E283F" w14:textId="703CACDC" w:rsidR="00DF62C6" w:rsidRDefault="00DF62C6" w:rsidP="00DF62C6">
      <w:r>
        <w:rPr>
          <w:noProof/>
        </w:rPr>
        <w:drawing>
          <wp:inline distT="0" distB="0" distL="0" distR="0" wp14:anchorId="7F14358B" wp14:editId="272D3113">
            <wp:extent cx="5400040" cy="334264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3342640"/>
                    </a:xfrm>
                    <a:prstGeom prst="rect">
                      <a:avLst/>
                    </a:prstGeom>
                    <a:noFill/>
                    <a:ln>
                      <a:noFill/>
                    </a:ln>
                  </pic:spPr>
                </pic:pic>
              </a:graphicData>
            </a:graphic>
          </wp:inline>
        </w:drawing>
      </w:r>
    </w:p>
    <w:p w14:paraId="62C06F67" w14:textId="2096FC94" w:rsidR="00DF62C6" w:rsidRDefault="00DF62C6" w:rsidP="00DF62C6"/>
    <w:p w14:paraId="5B647F86" w14:textId="008B9ABE" w:rsidR="00DF62C6" w:rsidRDefault="009175A6" w:rsidP="00DF62C6">
      <w:r w:rsidRPr="009175A6">
        <w:lastRenderedPageBreak/>
        <w:t>Legislação e Regulamentação Aplicável - Crime e Infração Administrativa</w:t>
      </w:r>
    </w:p>
    <w:p w14:paraId="50DD9033" w14:textId="77777777" w:rsidR="009175A6" w:rsidRDefault="009175A6" w:rsidP="009175A6">
      <w:r>
        <w:t>Responsabilidades administrativas e legais de entidades e pessoas físicas sujeitas à lei e à regulamentação</w:t>
      </w:r>
    </w:p>
    <w:p w14:paraId="5EF1C898" w14:textId="77777777" w:rsidR="009175A6" w:rsidRDefault="009175A6" w:rsidP="009175A6"/>
    <w:p w14:paraId="7CA967C6" w14:textId="77777777" w:rsidR="009175A6" w:rsidRDefault="009175A6" w:rsidP="009175A6">
      <w:r>
        <w:t>As regulações da CVM e do BACEN obrigam as instituições a designar um diretor responsável por implementação e cumprimento das medidas de prevenção à Lavagem de Dinheiro</w:t>
      </w:r>
    </w:p>
    <w:p w14:paraId="09FF211A" w14:textId="77777777" w:rsidR="009175A6" w:rsidRDefault="009175A6" w:rsidP="009175A6"/>
    <w:p w14:paraId="1BA593D3" w14:textId="77777777" w:rsidR="009175A6" w:rsidRDefault="009175A6" w:rsidP="009175A6">
      <w:r>
        <w:t>Essa obrigação carrega em si séria consequência administrativa, uma vez que, caso verificada alguma irregularidade, esse diretor constará, junto com a instituição, como parte do Processo Administrativo Sancionador correspondente, estando sujeito a penalidades administrativas na Pessoa Física</w:t>
      </w:r>
    </w:p>
    <w:p w14:paraId="3A24D407" w14:textId="77777777" w:rsidR="009175A6" w:rsidRDefault="009175A6" w:rsidP="009175A6"/>
    <w:p w14:paraId="31E6EA3C" w14:textId="77777777" w:rsidR="009175A6" w:rsidRDefault="009175A6" w:rsidP="009175A6">
      <w:r>
        <w:t>Ademais, outros administradores das Instituições Financeiras que deixem de cumprir as obrigações de prevenção à Lavagem de Dinheiro também estarão sujeitos a penalidades administrativas, sem prejuízo de eventual responsabilização civil ou penal. Nos termos da Lei 9.613/98, as penalidades administrativas cabíveis – que podem ser aplicadas cumulativamente – são as seguintes:</w:t>
      </w:r>
    </w:p>
    <w:p w14:paraId="02B4C389" w14:textId="77777777" w:rsidR="009175A6" w:rsidRDefault="009175A6" w:rsidP="009175A6"/>
    <w:p w14:paraId="6BBE1A09" w14:textId="77777777" w:rsidR="009175A6" w:rsidRDefault="009175A6" w:rsidP="009175A6">
      <w:r>
        <w:rPr>
          <w:rFonts w:ascii="Segoe UI Symbol" w:hAnsi="Segoe UI Symbol" w:cs="Segoe UI Symbol"/>
        </w:rPr>
        <w:t>⯀</w:t>
      </w:r>
      <w:r>
        <w:t xml:space="preserve"> advertência; </w:t>
      </w:r>
    </w:p>
    <w:p w14:paraId="76F9BF1C" w14:textId="77777777" w:rsidR="009175A6" w:rsidRDefault="009175A6" w:rsidP="009175A6"/>
    <w:p w14:paraId="66257F0B" w14:textId="77777777" w:rsidR="009175A6" w:rsidRDefault="009175A6" w:rsidP="009175A6">
      <w:r>
        <w:rPr>
          <w:rFonts w:ascii="Segoe UI Symbol" w:hAnsi="Segoe UI Symbol" w:cs="Segoe UI Symbol"/>
        </w:rPr>
        <w:t>⯀</w:t>
      </w:r>
      <w:r>
        <w:t xml:space="preserve">  multa pecuniária variável não superior: </w:t>
      </w:r>
    </w:p>
    <w:p w14:paraId="4787BC29" w14:textId="77777777" w:rsidR="009175A6" w:rsidRDefault="009175A6" w:rsidP="009175A6"/>
    <w:p w14:paraId="3D4A51B4" w14:textId="77777777" w:rsidR="009175A6" w:rsidRDefault="009175A6" w:rsidP="009175A6">
      <w:r>
        <w:t xml:space="preserve">i. ao dobro do valor da operação; </w:t>
      </w:r>
    </w:p>
    <w:p w14:paraId="672D33F0" w14:textId="77777777" w:rsidR="009175A6" w:rsidRDefault="009175A6" w:rsidP="009175A6"/>
    <w:p w14:paraId="4C2E7E51" w14:textId="77777777" w:rsidR="009175A6" w:rsidRDefault="009175A6" w:rsidP="009175A6">
      <w:r>
        <w:t>ii. ao dobro do lucro real obtido ou que presumivelmente seria obtido pela realização da operação; ou</w:t>
      </w:r>
    </w:p>
    <w:p w14:paraId="2EB0B421" w14:textId="77777777" w:rsidR="009175A6" w:rsidRDefault="009175A6" w:rsidP="009175A6"/>
    <w:p w14:paraId="4BFB3380" w14:textId="77777777" w:rsidR="009175A6" w:rsidRDefault="009175A6" w:rsidP="009175A6">
      <w:r>
        <w:t xml:space="preserve"> iii. ao valor de R$20.000.000,00, o que for menor; </w:t>
      </w:r>
    </w:p>
    <w:p w14:paraId="7EF38359" w14:textId="77777777" w:rsidR="009175A6" w:rsidRDefault="009175A6" w:rsidP="009175A6"/>
    <w:p w14:paraId="5F02E2F8" w14:textId="77777777" w:rsidR="009175A6" w:rsidRDefault="009175A6" w:rsidP="009175A6">
      <w:r>
        <w:t xml:space="preserve">iv. inabilitação temporária, pelo prazo de até dez anos, para o exercício do cargo de administrador das pessoas jurídicas referidas no art. 9o da Lei 9.613/98; </w:t>
      </w:r>
    </w:p>
    <w:p w14:paraId="0CCA24D4" w14:textId="77777777" w:rsidR="009175A6" w:rsidRDefault="009175A6" w:rsidP="009175A6"/>
    <w:p w14:paraId="41F39F99" w14:textId="77777777" w:rsidR="009175A6" w:rsidRDefault="009175A6" w:rsidP="009175A6">
      <w:r>
        <w:t xml:space="preserve">v. cassação ou suspensão da autorização para o exercício de atividade, operação ou funcionamento. </w:t>
      </w:r>
    </w:p>
    <w:p w14:paraId="3A3E8E78" w14:textId="77777777" w:rsidR="009175A6" w:rsidRDefault="009175A6" w:rsidP="009175A6"/>
    <w:p w14:paraId="0CEC5BED" w14:textId="77777777" w:rsidR="009175A6" w:rsidRDefault="009175A6" w:rsidP="009175A6"/>
    <w:p w14:paraId="2EA73AA9" w14:textId="4D6D9B3C" w:rsidR="009175A6" w:rsidRDefault="009175A6" w:rsidP="009175A6">
      <w:r>
        <w:t xml:space="preserve">Responsabilidades e corresponsabilidades </w:t>
      </w:r>
    </w:p>
    <w:p w14:paraId="7DE387EF" w14:textId="543D442F" w:rsidR="009175A6" w:rsidRDefault="009175A6" w:rsidP="009175A6">
      <w:r>
        <w:t>No tópico anterior falamos sobre as penalidades que incorrem sobre as Pessoas Físicas e Jurídicas que estão sujeitas à lei de Lavagem de Dinheiro. Isso partindo do princípio de que não há crime sem que haja um criminoso, vamos entender as penalidades para os criminosos.</w:t>
      </w:r>
    </w:p>
    <w:p w14:paraId="45175630" w14:textId="2DF414FF" w:rsidR="009175A6" w:rsidRDefault="009175A6" w:rsidP="009175A6">
      <w:r>
        <w:t xml:space="preserve">Aos responsáveis por práticas de crime de lavagem de dinheiro, será imputado: </w:t>
      </w:r>
    </w:p>
    <w:p w14:paraId="0F1F96FA" w14:textId="6AFAAE0D" w:rsidR="009175A6" w:rsidRDefault="009175A6" w:rsidP="009175A6">
      <w:r>
        <w:rPr>
          <w:rFonts w:ascii="Segoe UI Symbol" w:hAnsi="Segoe UI Symbol" w:cs="Segoe UI Symbol"/>
        </w:rPr>
        <w:t>⯀</w:t>
      </w:r>
      <w:r>
        <w:t xml:space="preserve"> reclusão de três a dez anos e multa; </w:t>
      </w:r>
    </w:p>
    <w:p w14:paraId="0A999777" w14:textId="7443E024" w:rsidR="009175A6" w:rsidRDefault="009175A6" w:rsidP="009175A6">
      <w:r>
        <w:rPr>
          <w:rFonts w:ascii="Segoe UI Symbol" w:hAnsi="Segoe UI Symbol" w:cs="Segoe UI Symbol"/>
        </w:rPr>
        <w:t>⯀</w:t>
      </w:r>
      <w:r>
        <w:t xml:space="preserve"> incorre na mesma pena quem ocultar ou dissimular a natureza, origem, localização, disposição, movimentação ou propriedade de bens, direitos ou valores provenientes, direta ou indiretamente, de infração penal; </w:t>
      </w:r>
    </w:p>
    <w:p w14:paraId="5E64FE35" w14:textId="77904214" w:rsidR="009175A6" w:rsidRDefault="009175A6" w:rsidP="009175A6">
      <w:r>
        <w:rPr>
          <w:rFonts w:ascii="Segoe UI Symbol" w:hAnsi="Segoe UI Symbol" w:cs="Segoe UI Symbol"/>
        </w:rPr>
        <w:t>⯀</w:t>
      </w:r>
      <w:r>
        <w:t xml:space="preserve"> as mesmas penas são aplicáveis também aos agentes que possibilitaram a ocorrência da Lavagem de Dinheiro em seu ciclo amplo, que, como visto, engloba integração, ocultação e colocação.</w:t>
      </w:r>
    </w:p>
    <w:p w14:paraId="39745628" w14:textId="3EB9C390" w:rsidR="009175A6" w:rsidRDefault="009175A6" w:rsidP="009175A6">
      <w:r>
        <w:t xml:space="preserve">Redução de pena  </w:t>
      </w:r>
    </w:p>
    <w:p w14:paraId="6349D52E" w14:textId="27FD6288" w:rsidR="009175A6" w:rsidRDefault="009175A6" w:rsidP="009175A6">
      <w:r>
        <w:t>Lembra quando o empresário Marcelo Odebrecht resolveu contribuir com as investigações da Operação Lava Jato delatando outros empresários e políticos? Ele não o fez, necessariamente, por ter se arrependido dos crimes que cometeu. Mas, sim porque essa delação confere a ele uma redução de pena</w:t>
      </w:r>
    </w:p>
    <w:p w14:paraId="41F7932E" w14:textId="1CF617D7" w:rsidR="009175A6" w:rsidRDefault="009175A6" w:rsidP="009175A6">
      <w:r>
        <w:t>Todo criminoso que contribuir com as investigações e entregar provas de sua colaboração terá sua pena reduzida de 1 a 2/3 do total da pena, ou até mesmo será convertido o regime prisional</w:t>
      </w:r>
    </w:p>
    <w:p w14:paraId="1DE1959D" w14:textId="0DD41A00" w:rsidR="009175A6" w:rsidRDefault="009175A6" w:rsidP="009175A6">
      <w:r>
        <w:t>Controles Internos</w:t>
      </w:r>
    </w:p>
    <w:p w14:paraId="08123394" w14:textId="2F453A23" w:rsidR="009175A6" w:rsidRDefault="009175A6" w:rsidP="009175A6">
      <w:r>
        <w:t>Até agora estávamos falando sobre prevenção à Lavagem de Dinheiro, e para pegar o embalo num tema carregado de procedimentos, vamos entender a importância de uma área de controles internos.</w:t>
      </w:r>
    </w:p>
    <w:p w14:paraId="784F563A" w14:textId="69885C2E" w:rsidR="009175A6" w:rsidRDefault="009175A6" w:rsidP="009175A6">
      <w:r>
        <w:t>Se voltarmos ao módulo 1, onde falamos sobre o Sistema Financeiro Nacional, lembraremos que uma Instituição Financeira pode prestar serviço de intermediação de recursos, bem como a gestão de recursos de terceiros</w:t>
      </w:r>
    </w:p>
    <w:p w14:paraId="59808AC9" w14:textId="0A1F3030" w:rsidR="009175A6" w:rsidRDefault="009175A6" w:rsidP="009175A6">
      <w:r>
        <w:t>Em outras palavras, uma instituição, ao fazer a intermediação, procura ter o máximo de spread possível. Essa mesma instituição, ao fazer gestão de recursos de terceiros, procura trazer a maior rentabilidade possível para os investidores. Para evitar esse potencial conflito de interesse é obrigatório a implementação da área de controles internos</w:t>
      </w:r>
    </w:p>
    <w:p w14:paraId="7BD5A230" w14:textId="582E7A85" w:rsidR="009175A6" w:rsidRDefault="009175A6" w:rsidP="009175A6">
      <w:r>
        <w:t>Antes de prosseguirmos, deixe-me explicar o conceito de spread. Isso vai facilitar sua compreensão.</w:t>
      </w:r>
    </w:p>
    <w:p w14:paraId="3F06A7B5" w14:textId="2FF28B5D" w:rsidR="009175A6" w:rsidRDefault="009175A6" w:rsidP="009175A6">
      <w:r>
        <w:t xml:space="preserve">O spread bancário, em termos simplificados, é a diferença entre a taxa de juros cobrada aos tomadores de crédito e a taxa de juros paga aos depositantes pelos bancos. Em outras palavras, é a diferença entre a remuneração que o banco paga ao aplicador para captar um recurso e o quanto esse banco cobra para emprestar o mesmo dinheiro. O cliente que deposita dinheiro no banco está de fato fazendo um empréstimo ao banco. Portanto, o banco </w:t>
      </w:r>
      <w:r>
        <w:lastRenderedPageBreak/>
        <w:t xml:space="preserve">remunera os depósitos de clientes a uma certa taxa de juros (chamada taxa de juros de captação ou simplesmente taxa de captação). </w:t>
      </w:r>
    </w:p>
    <w:p w14:paraId="6448E23A" w14:textId="17303874" w:rsidR="009175A6" w:rsidRDefault="009175A6" w:rsidP="009175A6">
      <w:r>
        <w:t>Analogamente, quando o banco empresta dinheiro a alguém, ele cobra uma taxa pelo empréstimo - uma taxa que será certamente superior à taxa de captação</w:t>
      </w:r>
    </w:p>
    <w:p w14:paraId="52AE60FB" w14:textId="12886FA8" w:rsidR="009175A6" w:rsidRDefault="009175A6" w:rsidP="009175A6">
      <w:r>
        <w:t>Deixando a coisa ainda mais simples: quando você investe seu dinheiro no CDB do banco ganhando 0,70% ao mês e o banco empresta esse dinheiro no cheque especial a outro cliente com uma taxa de 12% ao mês, temos aqui um dos maiores spreads do mercado (para não dizer do mundo)</w:t>
      </w:r>
    </w:p>
    <w:p w14:paraId="45B3265D" w14:textId="2F16A36E" w:rsidR="009175A6" w:rsidRDefault="009175A6" w:rsidP="009175A6">
      <w:r>
        <w:t>Agora que você entendeu o spread, vamos deixar claro como teríamos um conflito de interesses: na intermediação financeira, o banco vai buscar sempre o maior spread possível e, para isso, se faz necessário, ao captar recursos dos investidores, pagar a menor taxa de juros possível. Na prestação de serviços de gestão de recursos de terceiros, a Instituição Financeira precisa trazer a maior rentabilidade possível. Para alcançar essa rentabilidade, é necessário aplicar o recurso do seu cliente com a maior taxa possível.</w:t>
      </w:r>
    </w:p>
    <w:p w14:paraId="44A06478" w14:textId="06D944BB" w:rsidR="009175A6" w:rsidRDefault="009175A6" w:rsidP="009175A6">
      <w:r>
        <w:t>Resumindo: o conflito de interesse: de um lado, o banco tem a necessidade de captar recursos com a menor taxa possível; do outro lado, o banco tem a necessidade de aplicar o dinheiro dos investidores com maior taxa possível.</w:t>
      </w:r>
    </w:p>
    <w:p w14:paraId="7101D55F" w14:textId="4D3CC321" w:rsidR="009175A6" w:rsidRDefault="009175A6" w:rsidP="009175A6">
      <w:r>
        <w:t>Entendido o conflito de interesse e a importância de gerenciar o mesmo para segurança do investidor e transparência da instituição, a área de controles internos também tem papel fundamental na segurança de informação dos clientes. A segregação das funções da instituição é uma forma de evitar o conflito de interesse. A responsabilidade de implantação é da área de controles internos. Essa área também é responsável por criar procedimentos que garantam a segurança de informação dos clientes</w:t>
      </w:r>
    </w:p>
    <w:p w14:paraId="7E898884" w14:textId="7E74430A" w:rsidR="009175A6" w:rsidRDefault="009175A6" w:rsidP="009175A6">
      <w:r>
        <w:t>Os controles internos, cujas disposições devem estar acessíveis a todos os funcionários da instituição, de forma a assegurar sejam conhecidas a respectiva função no processo e as responsabilidades atribuídas aos diversos níveis da organização, devem prever:</w:t>
      </w:r>
    </w:p>
    <w:p w14:paraId="30796FFC" w14:textId="1342A302" w:rsidR="009175A6" w:rsidRDefault="009175A6" w:rsidP="009175A6">
      <w:r>
        <w:rPr>
          <w:rFonts w:ascii="Segoe UI Symbol" w:hAnsi="Segoe UI Symbol" w:cs="Segoe UI Symbol"/>
        </w:rPr>
        <w:t>⯀</w:t>
      </w:r>
      <w:r>
        <w:t xml:space="preserve"> a definição de responsabilidades dentro da instituição; </w:t>
      </w:r>
    </w:p>
    <w:p w14:paraId="3DC9E273" w14:textId="77777777" w:rsidR="009175A6" w:rsidRDefault="009175A6" w:rsidP="009175A6">
      <w:r>
        <w:rPr>
          <w:rFonts w:ascii="Segoe UI Symbol" w:hAnsi="Segoe UI Symbol" w:cs="Segoe UI Symbol"/>
        </w:rPr>
        <w:t>⯀</w:t>
      </w:r>
      <w:r>
        <w:t xml:space="preserve"> a segregação das atividades atribuídas aos integrantes da instituição de forma que seja evitado o conflito de interesses, bem como meios de minimizar e monitorar adequadamente áreas identificadas como de potencial conflito da espécie; </w:t>
      </w:r>
    </w:p>
    <w:p w14:paraId="2F12FFD2" w14:textId="6FA11F82" w:rsidR="009175A6" w:rsidRDefault="009175A6" w:rsidP="009175A6">
      <w:r>
        <w:rPr>
          <w:rFonts w:ascii="Segoe UI Symbol" w:hAnsi="Segoe UI Symbol" w:cs="Segoe UI Symbol"/>
        </w:rPr>
        <w:t>⯀</w:t>
      </w:r>
      <w:r>
        <w:t xml:space="preserve"> meios de identificar e avaliar fatores internos e externos que possam afetar adversamente a realização dos objetivos da instituição; </w:t>
      </w:r>
    </w:p>
    <w:p w14:paraId="06ECE9E5" w14:textId="77777777" w:rsidR="009175A6" w:rsidRDefault="009175A6" w:rsidP="009175A6">
      <w:r>
        <w:rPr>
          <w:rFonts w:ascii="Segoe UI Symbol" w:hAnsi="Segoe UI Symbol" w:cs="Segoe UI Symbol"/>
        </w:rPr>
        <w:t>⯀</w:t>
      </w:r>
      <w:r>
        <w:t xml:space="preserve"> a existência de canais de comunicação que assegurem aos funcionários, segundo o correspondente nível de atuação, o acesso a confiáveis, tempestivas e compreensíveis informações consideradas relevantes para suas tarefas e responsabilidades;</w:t>
      </w:r>
    </w:p>
    <w:p w14:paraId="485FFA97" w14:textId="77777777" w:rsidR="009175A6" w:rsidRDefault="009175A6" w:rsidP="009175A6">
      <w:r>
        <w:rPr>
          <w:rFonts w:ascii="Segoe UI Symbol" w:hAnsi="Segoe UI Symbol" w:cs="Segoe UI Symbol"/>
        </w:rPr>
        <w:t>⯀</w:t>
      </w:r>
      <w:r>
        <w:t xml:space="preserve"> a contínua avaliação dos diversos riscos associados às atividades da instituição;</w:t>
      </w:r>
    </w:p>
    <w:p w14:paraId="5C41EC97" w14:textId="251D49B3" w:rsidR="009175A6" w:rsidRDefault="009175A6" w:rsidP="009175A6">
      <w:r>
        <w:rPr>
          <w:rFonts w:ascii="Segoe UI Symbol" w:hAnsi="Segoe UI Symbol" w:cs="Segoe UI Symbol"/>
        </w:rPr>
        <w:t>⯀</w:t>
      </w:r>
      <w:r>
        <w:t xml:space="preserve"> o acompanhamento sistemático das atividades desenvolvidas, de forma que se possa avaliar se os objetivos da instituição estão sendo alcançados, se os limites estabelecidos e as leis e regulamentos aplicáveis estão sendo cumpridos, bem como a assegurar que quaisquer desvios possam ser prontamente corrigidos; </w:t>
      </w:r>
    </w:p>
    <w:p w14:paraId="695625A5" w14:textId="7514BFF1" w:rsidR="009175A6" w:rsidRDefault="009175A6" w:rsidP="009175A6">
      <w:r>
        <w:rPr>
          <w:rFonts w:ascii="Segoe UI Symbol" w:hAnsi="Segoe UI Symbol" w:cs="Segoe UI Symbol"/>
        </w:rPr>
        <w:lastRenderedPageBreak/>
        <w:t>⯀</w:t>
      </w:r>
      <w:r>
        <w:t xml:space="preserve"> a existência de testes periódicos de segurança para os sistemas de informações, em especial para os mantidos em meio eletrônico.</w:t>
      </w:r>
    </w:p>
    <w:p w14:paraId="06BC0E3E" w14:textId="78BECE79" w:rsidR="009175A6" w:rsidRDefault="009175A6" w:rsidP="009175A6">
      <w:r>
        <w:t>Os controles internos devem ser periodicamente revisados e atualizados, sendo a eles incorporadas medidas relacionadas a riscos novos ou anteriormente não abordados.</w:t>
      </w:r>
    </w:p>
    <w:p w14:paraId="4B040173" w14:textId="28996421" w:rsidR="009175A6" w:rsidRDefault="009175A6" w:rsidP="009175A6">
      <w:r>
        <w:rPr>
          <w:noProof/>
        </w:rPr>
        <w:drawing>
          <wp:inline distT="0" distB="0" distL="0" distR="0" wp14:anchorId="18B7B439" wp14:editId="415CF075">
            <wp:extent cx="5400040" cy="219075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190750"/>
                    </a:xfrm>
                    <a:prstGeom prst="rect">
                      <a:avLst/>
                    </a:prstGeom>
                    <a:noFill/>
                    <a:ln>
                      <a:noFill/>
                    </a:ln>
                  </pic:spPr>
                </pic:pic>
              </a:graphicData>
            </a:graphic>
          </wp:inline>
        </w:drawing>
      </w:r>
    </w:p>
    <w:p w14:paraId="1FA2FE43" w14:textId="0982C548" w:rsidR="00E23F0D" w:rsidRDefault="00E23F0D" w:rsidP="009175A6">
      <w:r w:rsidRPr="00E23F0D">
        <w:t>NOVO - Sujeitos a Legislação de PLF-FT e Políticas de Prevenção</w:t>
      </w:r>
    </w:p>
    <w:p w14:paraId="5D1CA734" w14:textId="2A98087B" w:rsidR="00E23F0D" w:rsidRDefault="00E23F0D" w:rsidP="00E23F0D">
      <w:r>
        <w:t>Todo mundo está sujeito a Lavagem de dinheiro, ou seja, todo mundo está sujeito a participar do processo independente da forma, certo? Mas quem está sujeito a sua regulamentação, ou seja, quem tem obrigações legais para evitar crimes de lavagem de dinheiro?</w:t>
      </w:r>
    </w:p>
    <w:p w14:paraId="6134634A" w14:textId="0BA3EBC1" w:rsidR="00E23F0D" w:rsidRDefault="00E23F0D" w:rsidP="00E23F0D">
      <w:r>
        <w:t>Em síntese, você vai notar que as entidades listadas abaixo tem algo em comum: são todas vinculadas a bens de luxo, como imóveis, carros, jóias, obras de artes, mercado de valores mobiliários ou ainda lidam diretamente com dinheiro em espécie.</w:t>
      </w:r>
    </w:p>
    <w:p w14:paraId="5E9C1FE4" w14:textId="6B252907" w:rsidR="00E23F0D" w:rsidRDefault="00E23F0D" w:rsidP="00E23F0D">
      <w:r>
        <w:t>Quem deve seguir as leis de PLD-FT então?</w:t>
      </w:r>
    </w:p>
    <w:p w14:paraId="26778CB0" w14:textId="79487108" w:rsidR="00E23F0D" w:rsidRDefault="00E23F0D" w:rsidP="00E23F0D">
      <w:r>
        <w:rPr>
          <w:rFonts w:ascii="Segoe UI Symbol" w:hAnsi="Segoe UI Symbol" w:cs="Segoe UI Symbol"/>
        </w:rPr>
        <w:t>⯀</w:t>
      </w:r>
      <w:r>
        <w:t xml:space="preserve"> bolsas de valores;</w:t>
      </w:r>
    </w:p>
    <w:p w14:paraId="2F81C55F" w14:textId="63E59315" w:rsidR="00E23F0D" w:rsidRDefault="00E23F0D" w:rsidP="00E23F0D">
      <w:r>
        <w:rPr>
          <w:rFonts w:ascii="Segoe UI Symbol" w:hAnsi="Segoe UI Symbol" w:cs="Segoe UI Symbol"/>
        </w:rPr>
        <w:t>⯀</w:t>
      </w:r>
      <w:r>
        <w:t xml:space="preserve"> mercado de balcão organizado;</w:t>
      </w:r>
    </w:p>
    <w:p w14:paraId="0C931B83" w14:textId="0FC717B7" w:rsidR="00E23F0D" w:rsidRDefault="00E23F0D" w:rsidP="00E23F0D">
      <w:r>
        <w:rPr>
          <w:rFonts w:ascii="Segoe UI Symbol" w:hAnsi="Segoe UI Symbol" w:cs="Segoe UI Symbol"/>
        </w:rPr>
        <w:t>⯀</w:t>
      </w:r>
      <w:r>
        <w:t xml:space="preserve"> seguradoras;</w:t>
      </w:r>
    </w:p>
    <w:p w14:paraId="63DB1AD3" w14:textId="60DB7C74" w:rsidR="00E23F0D" w:rsidRDefault="00E23F0D" w:rsidP="00E23F0D">
      <w:r>
        <w:rPr>
          <w:rFonts w:ascii="Segoe UI Symbol" w:hAnsi="Segoe UI Symbol" w:cs="Segoe UI Symbol"/>
        </w:rPr>
        <w:t>⯀</w:t>
      </w:r>
      <w:r>
        <w:t xml:space="preserve"> entidades de previdência complementar;</w:t>
      </w:r>
    </w:p>
    <w:p w14:paraId="284D1308" w14:textId="5F425BC2" w:rsidR="00E23F0D" w:rsidRDefault="00E23F0D" w:rsidP="00E23F0D">
      <w:r>
        <w:rPr>
          <w:rFonts w:ascii="Segoe UI Symbol" w:hAnsi="Segoe UI Symbol" w:cs="Segoe UI Symbol"/>
        </w:rPr>
        <w:t>⯀</w:t>
      </w:r>
      <w:r>
        <w:t xml:space="preserve"> administradoras de cartão de crédito e de consórcios;</w:t>
      </w:r>
    </w:p>
    <w:p w14:paraId="382A5686" w14:textId="403C3574" w:rsidR="00E23F0D" w:rsidRDefault="00E23F0D" w:rsidP="00E23F0D">
      <w:r>
        <w:rPr>
          <w:rFonts w:ascii="Segoe UI Symbol" w:hAnsi="Segoe UI Symbol" w:cs="Segoe UI Symbol"/>
        </w:rPr>
        <w:t>⯀</w:t>
      </w:r>
      <w:r>
        <w:t xml:space="preserve"> empresas de arrendamento mercantil;</w:t>
      </w:r>
    </w:p>
    <w:p w14:paraId="5D6BE465" w14:textId="671C3578" w:rsidR="00E23F0D" w:rsidRDefault="00E23F0D" w:rsidP="00E23F0D">
      <w:r>
        <w:rPr>
          <w:rFonts w:ascii="Segoe UI Symbol" w:hAnsi="Segoe UI Symbol" w:cs="Segoe UI Symbol"/>
        </w:rPr>
        <w:t>⯀</w:t>
      </w:r>
      <w:r>
        <w:t xml:space="preserve"> sociedades que realizam sorteios;</w:t>
      </w:r>
    </w:p>
    <w:p w14:paraId="3892A505" w14:textId="7BD2F55F" w:rsidR="00E23F0D" w:rsidRDefault="00E23F0D" w:rsidP="00E23F0D">
      <w:r>
        <w:rPr>
          <w:rFonts w:ascii="Segoe UI Symbol" w:hAnsi="Segoe UI Symbol" w:cs="Segoe UI Symbol"/>
        </w:rPr>
        <w:t>⯀</w:t>
      </w:r>
      <w:r>
        <w:t xml:space="preserve"> juntas comerciais e registros públicos;</w:t>
      </w:r>
    </w:p>
    <w:p w14:paraId="3B73DB37" w14:textId="1E9CAE2F" w:rsidR="00E23F0D" w:rsidRDefault="00E23F0D" w:rsidP="00E23F0D">
      <w:r>
        <w:rPr>
          <w:rFonts w:ascii="Segoe UI Symbol" w:hAnsi="Segoe UI Symbol" w:cs="Segoe UI Symbol"/>
        </w:rPr>
        <w:t>⯀</w:t>
      </w:r>
      <w:r>
        <w:t xml:space="preserve"> pessoas físicas ou jurídicas que:</w:t>
      </w:r>
    </w:p>
    <w:p w14:paraId="2EF6D730" w14:textId="64154248" w:rsidR="00E23F0D" w:rsidRDefault="00E23F0D" w:rsidP="00E23F0D">
      <w:r>
        <w:rPr>
          <w:rFonts w:ascii="Cambria Math" w:hAnsi="Cambria Math" w:cs="Cambria Math"/>
        </w:rPr>
        <w:t>◇</w:t>
      </w:r>
      <w:r>
        <w:t xml:space="preserve"> desempenham atividades que precisam exercer as pol</w:t>
      </w:r>
      <w:r>
        <w:rPr>
          <w:rFonts w:ascii="Calibri" w:hAnsi="Calibri" w:cs="Calibri"/>
        </w:rPr>
        <w:t>í</w:t>
      </w:r>
      <w:r>
        <w:t>ticas PLD-FT;</w:t>
      </w:r>
    </w:p>
    <w:p w14:paraId="6CC56EEA" w14:textId="73717EAA" w:rsidR="00E23F0D" w:rsidRDefault="00E23F0D" w:rsidP="00E23F0D">
      <w:r>
        <w:rPr>
          <w:rFonts w:ascii="Cambria Math" w:hAnsi="Cambria Math" w:cs="Cambria Math"/>
        </w:rPr>
        <w:t>◇</w:t>
      </w:r>
      <w:r>
        <w:t xml:space="preserve"> que compram ou vendem im</w:t>
      </w:r>
      <w:r>
        <w:rPr>
          <w:rFonts w:ascii="Calibri" w:hAnsi="Calibri" w:cs="Calibri"/>
        </w:rPr>
        <w:t>ó</w:t>
      </w:r>
      <w:r>
        <w:t>veis;</w:t>
      </w:r>
    </w:p>
    <w:p w14:paraId="59C32EEE" w14:textId="4FE08595" w:rsidR="00E23F0D" w:rsidRDefault="00E23F0D" w:rsidP="00E23F0D">
      <w:r>
        <w:rPr>
          <w:rFonts w:ascii="Cambria Math" w:hAnsi="Cambria Math" w:cs="Cambria Math"/>
        </w:rPr>
        <w:t>◇</w:t>
      </w:r>
      <w:r>
        <w:t xml:space="preserve"> negociam j</w:t>
      </w:r>
      <w:r>
        <w:rPr>
          <w:rFonts w:ascii="Calibri" w:hAnsi="Calibri" w:cs="Calibri"/>
        </w:rPr>
        <w:t>ó</w:t>
      </w:r>
      <w:r>
        <w:t>ias, pedras e metais precioso, objetos de arte ou antiguidades;</w:t>
      </w:r>
    </w:p>
    <w:p w14:paraId="185101EF" w14:textId="420834DB" w:rsidR="00E23F0D" w:rsidRDefault="00E23F0D" w:rsidP="00E23F0D">
      <w:r>
        <w:rPr>
          <w:rFonts w:ascii="Cambria Math" w:hAnsi="Cambria Math" w:cs="Cambria Math"/>
        </w:rPr>
        <w:lastRenderedPageBreak/>
        <w:t>◇</w:t>
      </w:r>
      <w:r>
        <w:t xml:space="preserve"> negociam bens de luxo ou de alto valor.</w:t>
      </w:r>
    </w:p>
    <w:p w14:paraId="578F6BA3" w14:textId="1109DA4B" w:rsidR="00E23F0D" w:rsidRDefault="00E23F0D" w:rsidP="00E23F0D">
      <w:r>
        <w:rPr>
          <w:rFonts w:ascii="Segoe UI Symbol" w:hAnsi="Segoe UI Symbol" w:cs="Segoe UI Symbol"/>
        </w:rPr>
        <w:t>⯀</w:t>
      </w:r>
      <w:r>
        <w:t xml:space="preserve"> pessoas físicas e jurídicas que exerçam assessoria, consultoria ou assistência em:</w:t>
      </w:r>
    </w:p>
    <w:p w14:paraId="7A3E9068" w14:textId="39190CB9" w:rsidR="00E23F0D" w:rsidRDefault="00E23F0D" w:rsidP="00E23F0D">
      <w:r>
        <w:rPr>
          <w:rFonts w:ascii="Cambria Math" w:hAnsi="Cambria Math" w:cs="Cambria Math"/>
        </w:rPr>
        <w:t>◇</w:t>
      </w:r>
      <w:r>
        <w:t xml:space="preserve"> compra e venda de im</w:t>
      </w:r>
      <w:r>
        <w:rPr>
          <w:rFonts w:ascii="Calibri" w:hAnsi="Calibri" w:cs="Calibri"/>
        </w:rPr>
        <w:t>ó</w:t>
      </w:r>
      <w:r>
        <w:t>veis;</w:t>
      </w:r>
    </w:p>
    <w:p w14:paraId="4B19A936" w14:textId="34B5AF76" w:rsidR="00E23F0D" w:rsidRDefault="00E23F0D" w:rsidP="00E23F0D">
      <w:r>
        <w:rPr>
          <w:rFonts w:ascii="Cambria Math" w:hAnsi="Cambria Math" w:cs="Cambria Math"/>
        </w:rPr>
        <w:t>◇</w:t>
      </w:r>
      <w:r>
        <w:t xml:space="preserve"> abertura ou gest</w:t>
      </w:r>
      <w:r>
        <w:rPr>
          <w:rFonts w:ascii="Calibri" w:hAnsi="Calibri" w:cs="Calibri"/>
        </w:rPr>
        <w:t>ã</w:t>
      </w:r>
      <w:r>
        <w:t>o de contas banc</w:t>
      </w:r>
      <w:r>
        <w:rPr>
          <w:rFonts w:ascii="Calibri" w:hAnsi="Calibri" w:cs="Calibri"/>
        </w:rPr>
        <w:t>á</w:t>
      </w:r>
      <w:r>
        <w:t>rias e produtos de investimento;</w:t>
      </w:r>
    </w:p>
    <w:p w14:paraId="0E6A6CAB" w14:textId="79AB1E48" w:rsidR="00E23F0D" w:rsidRDefault="00E23F0D" w:rsidP="00E23F0D">
      <w:r>
        <w:rPr>
          <w:rFonts w:ascii="Cambria Math" w:hAnsi="Cambria Math" w:cs="Cambria Math"/>
        </w:rPr>
        <w:t>◇</w:t>
      </w:r>
      <w:r>
        <w:t xml:space="preserve"> financeiras ou imobiliárias;</w:t>
      </w:r>
    </w:p>
    <w:p w14:paraId="222235EF" w14:textId="025AE6E3" w:rsidR="00E23F0D" w:rsidRDefault="00E23F0D" w:rsidP="00E23F0D">
      <w:r>
        <w:rPr>
          <w:rFonts w:ascii="Cambria Math" w:hAnsi="Cambria Math" w:cs="Cambria Math"/>
        </w:rPr>
        <w:t>◇</w:t>
      </w:r>
      <w:r>
        <w:t xml:space="preserve"> aquisi</w:t>
      </w:r>
      <w:r>
        <w:rPr>
          <w:rFonts w:ascii="Calibri" w:hAnsi="Calibri" w:cs="Calibri"/>
        </w:rPr>
        <w:t>çã</w:t>
      </w:r>
      <w:r>
        <w:t>o ou aliena</w:t>
      </w:r>
      <w:r>
        <w:rPr>
          <w:rFonts w:ascii="Calibri" w:hAnsi="Calibri" w:cs="Calibri"/>
        </w:rPr>
        <w:t>çã</w:t>
      </w:r>
      <w:r>
        <w:t>o de direitos contratuais sobre atividades desportivas ou art</w:t>
      </w:r>
      <w:r>
        <w:rPr>
          <w:rFonts w:ascii="Calibri" w:hAnsi="Calibri" w:cs="Calibri"/>
        </w:rPr>
        <w:t>í</w:t>
      </w:r>
      <w:r>
        <w:t>sticas profissionais;</w:t>
      </w:r>
    </w:p>
    <w:p w14:paraId="4AF62DFE" w14:textId="4EF0AE48" w:rsidR="00E23F0D" w:rsidRDefault="00E23F0D" w:rsidP="00E23F0D">
      <w:r>
        <w:rPr>
          <w:rFonts w:ascii="Segoe UI Symbol" w:hAnsi="Segoe UI Symbol" w:cs="Segoe UI Symbol"/>
        </w:rPr>
        <w:t>⯀</w:t>
      </w:r>
      <w:r>
        <w:t xml:space="preserve"> pessoas físicas e jurídicas que negociam, intermediam ou agência atletas, artistas ou feiras;</w:t>
      </w:r>
    </w:p>
    <w:p w14:paraId="3BD97E29" w14:textId="74584710" w:rsidR="00E23F0D" w:rsidRDefault="00E23F0D" w:rsidP="00E23F0D">
      <w:r>
        <w:rPr>
          <w:rFonts w:ascii="Segoe UI Symbol" w:hAnsi="Segoe UI Symbol" w:cs="Segoe UI Symbol"/>
        </w:rPr>
        <w:t>⯀</w:t>
      </w:r>
      <w:r>
        <w:t xml:space="preserve"> empresas de guarda valores ou transporte.</w:t>
      </w:r>
    </w:p>
    <w:p w14:paraId="53D81A1E" w14:textId="4ACA5376" w:rsidR="00E23F0D" w:rsidRDefault="00E23F0D" w:rsidP="00E23F0D">
      <w:r>
        <w:t>Políticas e procedimentos de PLD/FT</w:t>
      </w:r>
    </w:p>
    <w:p w14:paraId="47FD367F" w14:textId="10D15C30" w:rsidR="00E23F0D" w:rsidRDefault="00E23F0D" w:rsidP="00E23F0D">
      <w:r>
        <w:t>Para efetividade das políticas e procedimentos de PLD-FT, as Instituições devem seguir seguintes pontos:</w:t>
      </w:r>
    </w:p>
    <w:p w14:paraId="743EAFF1" w14:textId="72325AC6" w:rsidR="00E23F0D" w:rsidRDefault="00E23F0D" w:rsidP="00E23F0D">
      <w:r>
        <w:rPr>
          <w:rFonts w:ascii="Segoe UI Symbol" w:hAnsi="Segoe UI Symbol" w:cs="Segoe UI Symbol"/>
        </w:rPr>
        <w:t>⯀</w:t>
      </w:r>
      <w:r>
        <w:t xml:space="preserve"> Deve ser documentada, aprovada pela alta administração da instituição e mantida</w:t>
      </w:r>
    </w:p>
    <w:p w14:paraId="6457C6D2" w14:textId="50BCB32B" w:rsidR="00E23F0D" w:rsidRDefault="00E23F0D" w:rsidP="00E23F0D">
      <w:r>
        <w:t>atualizada para os novos riscos iminentes à LD-FT;</w:t>
      </w:r>
    </w:p>
    <w:p w14:paraId="60FC864D" w14:textId="70FB9E14" w:rsidR="00E23F0D" w:rsidRDefault="00E23F0D" w:rsidP="00E23F0D">
      <w:r>
        <w:rPr>
          <w:rFonts w:ascii="Segoe UI Symbol" w:hAnsi="Segoe UI Symbol" w:cs="Segoe UI Symbol"/>
        </w:rPr>
        <w:t>⯀</w:t>
      </w:r>
      <w:r>
        <w:t xml:space="preserve"> Conhecer os clientes ativos: incluindo procedimentos de verificação, coleta, validação</w:t>
      </w:r>
    </w:p>
    <w:p w14:paraId="24656246" w14:textId="67D4FD05" w:rsidR="00E23F0D" w:rsidRDefault="00E23F0D" w:rsidP="00E23F0D">
      <w:r>
        <w:t>e atualização de informações cadastrais;</w:t>
      </w:r>
    </w:p>
    <w:p w14:paraId="7341E351" w14:textId="56286C71" w:rsidR="00E23F0D" w:rsidRDefault="00E23F0D" w:rsidP="00E23F0D">
      <w:r>
        <w:rPr>
          <w:rFonts w:ascii="Segoe UI Symbol" w:hAnsi="Segoe UI Symbol" w:cs="Segoe UI Symbol"/>
        </w:rPr>
        <w:t>⯀</w:t>
      </w:r>
      <w:r>
        <w:t xml:space="preserve"> Conhecer funcionários e os prestadores de serviços relevantes;</w:t>
      </w:r>
    </w:p>
    <w:p w14:paraId="2A94F4A9" w14:textId="32F4031E" w:rsidR="00E23F0D" w:rsidRDefault="00E23F0D" w:rsidP="00E23F0D">
      <w:r>
        <w:rPr>
          <w:rFonts w:ascii="Segoe UI Symbol" w:hAnsi="Segoe UI Symbol" w:cs="Segoe UI Symbol"/>
        </w:rPr>
        <w:t>⯀</w:t>
      </w:r>
      <w:r>
        <w:t xml:space="preserve"> Buscar identificar o beneficiário final do respectivo cliente;</w:t>
      </w:r>
    </w:p>
    <w:p w14:paraId="11898CB6" w14:textId="28E9F8A1" w:rsidR="00E23F0D" w:rsidRDefault="00E23F0D" w:rsidP="00E23F0D">
      <w:r>
        <w:rPr>
          <w:rFonts w:ascii="Segoe UI Symbol" w:hAnsi="Segoe UI Symbol" w:cs="Segoe UI Symbol"/>
        </w:rPr>
        <w:t>⯀</w:t>
      </w:r>
      <w:r>
        <w:t xml:space="preserve"> Monitorar e detectar possíveis atipicidades entre as movimentações e comportamentos</w:t>
      </w:r>
    </w:p>
    <w:p w14:paraId="2D4D5624" w14:textId="4C566192" w:rsidR="00E23F0D" w:rsidRDefault="00E23F0D" w:rsidP="00E23F0D">
      <w:r>
        <w:t>de seus clientes, funcionários e prestadores de serviços;</w:t>
      </w:r>
    </w:p>
    <w:p w14:paraId="79803D72" w14:textId="6A65540D" w:rsidR="00E23F0D" w:rsidRDefault="00E23F0D" w:rsidP="00E23F0D">
      <w:r>
        <w:rPr>
          <w:rFonts w:ascii="Segoe UI Symbol" w:hAnsi="Segoe UI Symbol" w:cs="Segoe UI Symbol"/>
        </w:rPr>
        <w:t>⯀</w:t>
      </w:r>
      <w:r>
        <w:t xml:space="preserve"> Realizar a atualização cadastral de clientes ativos dentro de no máximo 5 anos.</w:t>
      </w:r>
    </w:p>
    <w:p w14:paraId="01BDE704" w14:textId="63AFCD56" w:rsidR="00E23F0D" w:rsidRDefault="00E23F0D" w:rsidP="00E23F0D">
      <w:r>
        <w:t>Quais são os órgãos que participam da PLD-FT:</w:t>
      </w:r>
    </w:p>
    <w:p w14:paraId="50A531A5" w14:textId="4A2AB6B3" w:rsidR="00E23F0D" w:rsidRDefault="00E23F0D" w:rsidP="00E23F0D">
      <w:r>
        <w:t>Banco Central - Cria as políticas de PLD-FT, para suprimir essas ilegalidades dentro das instituições e faz normas e procedimentos capazes de assegurar a obrigação de comunicação das instituições sobre atividades que chamem atenção para o COAF.</w:t>
      </w:r>
    </w:p>
    <w:p w14:paraId="650481FA" w14:textId="51DDEF1B" w:rsidR="00E23F0D" w:rsidRDefault="00E23F0D" w:rsidP="00E23F0D">
      <w:r>
        <w:t>Instituições Financeiras – São os bancos, financeiras, cooperativas, agências de fomento e outras instituições, que atuam no mercado financeiro e de capitais, recebendo no dia-a-dia milhares de transações. São responsáveis por identificar os clientes e/ou beneficiário final, obter e registrar dados dos clientes, manter suas informações atualizadas e comunicar ao COAF operações e situações atípicas ou suspeitas.</w:t>
      </w:r>
    </w:p>
    <w:p w14:paraId="59D0DE82" w14:textId="18D22B90" w:rsidR="00E23F0D" w:rsidRDefault="00E23F0D" w:rsidP="00E23F0D">
      <w:r>
        <w:t xml:space="preserve">COAF – (Conselho de Controle de Atividades Financeiras) - É o órgão responsável em disciplinar, aplicar penas administrativas, receber, examinar e identificar ocorrências suspeitas de atividades ilícitas relacionadas à LD-FT. Ao receber as informações, geram relatórios, que são encaminhados para as autoridades competentes, que iniciarão ou darão continuidade aos </w:t>
      </w:r>
      <w:r>
        <w:lastRenderedPageBreak/>
        <w:t>procedimentos de investigação e de identificação/perseguição dos envolvidos nos atos ilícitos. Falaremos melhor mais à frente.</w:t>
      </w:r>
    </w:p>
    <w:p w14:paraId="21CE591F" w14:textId="68261A77" w:rsidR="00E23F0D" w:rsidRDefault="00E23F0D" w:rsidP="00E23F0D">
      <w:r>
        <w:t>Ministério Público Federal, Polícia Federal e Ministérios Públicos Estaduais – Investiga casos ilícitos ou suspeitos.</w:t>
      </w:r>
    </w:p>
    <w:p w14:paraId="4D5BBC0A" w14:textId="76605191" w:rsidR="00E23F0D" w:rsidRDefault="00E23F0D" w:rsidP="00E23F0D">
      <w:r>
        <w:t>Convenção contra Financiamento do Terrorismo</w:t>
      </w:r>
    </w:p>
    <w:p w14:paraId="4ADF6A52" w14:textId="3421239F" w:rsidR="00E23F0D" w:rsidRDefault="00E23F0D" w:rsidP="00E23F0D">
      <w:r>
        <w:t>Assinada pelo Brasil em 2005, em que concorda com a condenação de todos os atos, métodos e práticas terroristas, os quais consideram criminosos e injustificáveis, independente de onde e por quem a tenha cometido, inclusive aqueles que comprometem as relações de amizade entre Estados e povos.</w:t>
      </w:r>
    </w:p>
    <w:p w14:paraId="7D81360A" w14:textId="41A37BE7" w:rsidR="00E23F0D" w:rsidRDefault="00E23F0D" w:rsidP="00E23F0D">
      <w:r>
        <w:t>O Decreto nº 5.640/05, promulga a Convenção Internacional para Supressão do Financiamento do Terrorismo, adotada pela Assembléia-Geral das Nações Unidas em 9 de dezembro de 1999. Você pode verificar mais em: http://www.planalto.gov.br/ccivil_03/_Ato2004-2006/2005/Decreto/D5640.htm</w:t>
      </w:r>
    </w:p>
    <w:p w14:paraId="4DB98237" w14:textId="3C694662" w:rsidR="00E23F0D" w:rsidRDefault="00E23F0D" w:rsidP="00E23F0D">
      <w:r>
        <w:t>Assim, o objetivo é desenvolver políticas e métodos que visam prevenir, reprimir e eliminar o terrorismo em todas as suas formas e manifestações, com o propósito de assegurar a existência e uma ampla estrutura jurídica.</w:t>
      </w:r>
    </w:p>
    <w:p w14:paraId="07119F8E" w14:textId="4A22CD0C" w:rsidR="00E23F0D" w:rsidRDefault="00E23F0D" w:rsidP="00E23F0D">
      <w:r>
        <w:t xml:space="preserve">Mediante ao acordo internacional estabelecido, cada Estado participante da Convenção deverá tomar as medidas necessárias, podendo criar leis internas (caso necessário), assegurando que os atos ilícitos de financiamento ao terrorismo sejam julgados e condenados. Por exemplo, aqui no Brasil temos a Lei nª 9.613/98 que dispõe sobre os crimes de "lavagem" ou ocultação de bens, direitos e valores. Você pode verificar mais em: </w:t>
      </w:r>
      <w:r>
        <w:br/>
      </w:r>
      <w:r>
        <w:br/>
      </w:r>
      <w:hyperlink r:id="rId8" w:anchor=":~:text=LEI%20N%C2%BA%209.613%2C%20DE%203%20DE%20MAR%C3%87O%20DE%201998.&amp;text=Disp%C3%B5e%20sobre%20os%20crimes%20de,COAF%2C%20e%20d%C3%A1%20outras%20provid%C3%AAncias" w:history="1">
        <w:r w:rsidRPr="002407D5">
          <w:rPr>
            <w:rStyle w:val="Hyperlink"/>
          </w:rPr>
          <w:t>http://www.planalto.gov.br/ccivil_03/leis/l9613.htm#:~:text=LEI%20N%C2%BA%209.613%2C%20DE%203%20DE%20MAR%C3%87O%20DE%201998.&amp;text=Disp%C3%B5e%20sobre%20os%20crimes%20de,COAF%2C%20e%20d%C3%A1%20outras%20provid%C3%AAncias</w:t>
        </w:r>
      </w:hyperlink>
      <w:r>
        <w:t>.</w:t>
      </w:r>
    </w:p>
    <w:p w14:paraId="1820AB36" w14:textId="624CEE92" w:rsidR="00E23F0D" w:rsidRDefault="00E23F0D" w:rsidP="00E23F0D">
      <w:r>
        <w:t>Grupo de Ação Financeira contra a Lavagem de Dinheiro e o Financiamento do Terrorismo - GAFI</w:t>
      </w:r>
    </w:p>
    <w:p w14:paraId="2F34CEE8" w14:textId="4074F7A3" w:rsidR="00E23F0D" w:rsidRDefault="00E23F0D" w:rsidP="00E23F0D">
      <w:r>
        <w:t>É uma organização intergovernamental criada em 1989 com o objetivo de desenvolver e promover políticas nacionais e internacionais de combate à lavagem de dinheiro e ao financiamento do terrorismo. Podemos definir o GAFI como um organismo elaborador de políticas que atua visando a gerar a vontade política necessária para realizar reformas legislativas e regulatórias nessas áreas.</w:t>
      </w:r>
    </w:p>
    <w:p w14:paraId="4877FC4D" w14:textId="7E98A167" w:rsidR="00E23F0D" w:rsidRDefault="00E23F0D" w:rsidP="00E23F0D">
      <w:r>
        <w:t>Periodicamente, o Gafi realiza avaliação dos países membros acerca da implementação de medidas de prevenção e combate à lavagem de dinheiro e ao financiamento do terrorismo.</w:t>
      </w:r>
    </w:p>
    <w:p w14:paraId="0F45E3E5" w14:textId="037019C1" w:rsidR="00E23F0D" w:rsidRDefault="00E23F0D" w:rsidP="00E23F0D">
      <w:r>
        <w:t>Os padrões do Gafi foram revisados para aumentar as exigências em situações de alto risco e permitir que os países adotem posturas mais objetivas e focadas para esses riscos.</w:t>
      </w:r>
    </w:p>
    <w:p w14:paraId="6B1ACBD7" w14:textId="1ADBF5C4" w:rsidR="00E23F0D" w:rsidRDefault="00E23F0D" w:rsidP="00E23F0D">
      <w:r>
        <w:t>A revisão busca alcançar o equilíbrio:</w:t>
      </w:r>
    </w:p>
    <w:p w14:paraId="035CFEDE" w14:textId="43DD463A" w:rsidR="00E23F0D" w:rsidRDefault="00E23F0D" w:rsidP="00E23F0D">
      <w:r>
        <w:rPr>
          <w:rFonts w:ascii="Segoe UI Symbol" w:hAnsi="Segoe UI Symbol" w:cs="Segoe UI Symbol"/>
        </w:rPr>
        <w:t>⯀</w:t>
      </w:r>
      <w:r>
        <w:t xml:space="preserve"> As exigências foram especificamente fortalecidas nas áreas de maior risco ou naquelas em que a implementação pode ser melhorada. Foram expandidas para incluir novas ameaças, como o financiamento da proliferação de armas de destruição em massa, além de serem mais claras com relação à transparência e mais rígidas contra a corrupção.</w:t>
      </w:r>
    </w:p>
    <w:p w14:paraId="78D70A0F" w14:textId="258A2775" w:rsidR="00E23F0D" w:rsidRDefault="00E23F0D" w:rsidP="00E23F0D">
      <w:r>
        <w:rPr>
          <w:rFonts w:ascii="Segoe UI Symbol" w:hAnsi="Segoe UI Symbol" w:cs="Segoe UI Symbol"/>
        </w:rPr>
        <w:lastRenderedPageBreak/>
        <w:t>⯀</w:t>
      </w:r>
      <w:r>
        <w:t xml:space="preserve"> No entanto, são também mais dirigidas – há mais flexibilidade para medidas simples a serem aplicadas em áreas de baixo risco. A abordagem baseada em risco permitirá que as instituições financeiras e atividades e profissões não-financeiras designadas (APNFDs) apliquem seus recursos em áreas de maior risco.</w:t>
      </w:r>
    </w:p>
    <w:p w14:paraId="40188600" w14:textId="0360BAC4" w:rsidR="00E23F0D" w:rsidRDefault="00E23F0D" w:rsidP="00E23F0D">
      <w:r>
        <w:rPr>
          <w:noProof/>
        </w:rPr>
        <w:drawing>
          <wp:inline distT="0" distB="0" distL="0" distR="0" wp14:anchorId="5DB15F4A" wp14:editId="734379D2">
            <wp:extent cx="5391150" cy="3400425"/>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91150" cy="3400425"/>
                    </a:xfrm>
                    <a:prstGeom prst="rect">
                      <a:avLst/>
                    </a:prstGeom>
                    <a:noFill/>
                    <a:ln>
                      <a:noFill/>
                    </a:ln>
                  </pic:spPr>
                </pic:pic>
              </a:graphicData>
            </a:graphic>
          </wp:inline>
        </w:drawing>
      </w:r>
    </w:p>
    <w:p w14:paraId="30E9B17E" w14:textId="229535E8" w:rsidR="00626ABC" w:rsidRDefault="00626ABC" w:rsidP="00E23F0D">
      <w:r w:rsidRPr="00626ABC">
        <w:t>Ações Preventivas a Lavagem de Dinheiro</w:t>
      </w:r>
    </w:p>
    <w:p w14:paraId="4CE50A96" w14:textId="56F0A626" w:rsidR="00626ABC" w:rsidRDefault="00626ABC" w:rsidP="00626ABC">
      <w:r>
        <w:t>Você vai ver o termo “conheça seu cliente” no seu dia a dia e também na prova da ANBIMA através da sigla KYC (Know Your Costumer, cuja tradução literal é conheça seu cliente).</w:t>
      </w:r>
    </w:p>
    <w:p w14:paraId="26DCA72D" w14:textId="6922EC13" w:rsidR="00626ABC" w:rsidRDefault="00626ABC" w:rsidP="00626ABC">
      <w:r>
        <w:t>As Instituições Financeiras são alvos dos criminosos porque, em seus sistemas, fica mais fácil colocar e ocultar dinheiro proveniente de atividade ilícita. É exatamente por isso que o BACEN e a CVM criaram as normas citadas no tópico anterior. Essas normas dispõem, entre outras coisas, sobre a identificação, cadastro, registro e comunicação de operações de seus clientes</w:t>
      </w:r>
    </w:p>
    <w:p w14:paraId="5CF8FDDC" w14:textId="7BC780CC" w:rsidR="00626ABC" w:rsidRDefault="00626ABC" w:rsidP="00626ABC">
      <w:r>
        <w:t>Cadastro</w:t>
      </w:r>
    </w:p>
    <w:p w14:paraId="5DB7D587" w14:textId="2FA50187" w:rsidR="00626ABC" w:rsidRDefault="00626ABC" w:rsidP="00626ABC">
      <w:r>
        <w:t>Uma das principais atuações preventivas ao alcance das Instituições Financeiras diz respeito à manutenção de um cadastro completo e atualizado dos clientes. Nesse sentido, quanto mais completo um cadastro, mais facilmente são identificadas operações suspeitas</w:t>
      </w:r>
    </w:p>
    <w:p w14:paraId="18D6245C" w14:textId="683875C7" w:rsidR="00626ABC" w:rsidRDefault="00626ABC" w:rsidP="00626ABC">
      <w:r>
        <w:t xml:space="preserve">Tão importante quanto a existência de um cadastro completo quando da abertura de um relacionamento de intermediação financeira, é a constante atualização dele. Para que uma Instituição Financeira possa atender a essa necessidade de manter o cadastro de seu cliente atualizado, é necessário que haja processos internos devidamente delineados para com, no mínimo, uma periodicidade para que seja feita essa atualização. </w:t>
      </w:r>
    </w:p>
    <w:p w14:paraId="6A3DAAF8" w14:textId="77777777" w:rsidR="00626ABC" w:rsidRDefault="00626ABC" w:rsidP="00626ABC">
      <w:r>
        <w:t>Essa atualização pode ser feita por meio de atendimento pessoal ou até mesmo atendimento eletrônico, como caixas eletrônicos, sistema de internet ou ligações telefônicas gravadas. Apenas ter o cadastro do cliente atualizado não é suficiente. Por isso, é necessária uma observação também na movimentação financeira do cliente e se esta é compatível com sua atividade profissional ou com sua renda declarada.</w:t>
      </w:r>
    </w:p>
    <w:p w14:paraId="33E3C6A8" w14:textId="590B360C" w:rsidR="00626ABC" w:rsidRDefault="00626ABC" w:rsidP="00626ABC">
      <w:r>
        <w:lastRenderedPageBreak/>
        <w:t xml:space="preserve">Informações do KYC </w:t>
      </w:r>
    </w:p>
    <w:p w14:paraId="71444474" w14:textId="1E2553A3" w:rsidR="00626ABC" w:rsidRDefault="00626ABC" w:rsidP="00626ABC">
      <w:r>
        <w:t>Já sabemos que o processo de “conheça seu cliente” (ou KYC) tem como principal finalidade a prevenção ao crime de Lavagem de Dinheiro. Mas já que é para conhecer seu cliente, vamos entender qual informação devemos buscar junto a ele:</w:t>
      </w:r>
    </w:p>
    <w:p w14:paraId="094356B9" w14:textId="19064F90" w:rsidR="00626ABC" w:rsidRDefault="00626ABC" w:rsidP="00626ABC">
      <w:r>
        <w:rPr>
          <w:rFonts w:ascii="Segoe UI Symbol" w:hAnsi="Segoe UI Symbol" w:cs="Segoe UI Symbol"/>
        </w:rPr>
        <w:t>⯀</w:t>
      </w:r>
      <w:r>
        <w:t xml:space="preserve"> dados documentais (RG, CPF, endereço), no de Pessoa Física e CNPJ no caso de Pessoa Jurídica; </w:t>
      </w:r>
    </w:p>
    <w:p w14:paraId="1CCB0950" w14:textId="2226F565" w:rsidR="00626ABC" w:rsidRDefault="00626ABC" w:rsidP="00626ABC">
      <w:r>
        <w:rPr>
          <w:rFonts w:ascii="Segoe UI Symbol" w:hAnsi="Segoe UI Symbol" w:cs="Segoe UI Symbol"/>
        </w:rPr>
        <w:t>⯀</w:t>
      </w:r>
      <w:r>
        <w:t xml:space="preserve"> profissão, no caso de Pessoa Física; </w:t>
      </w:r>
    </w:p>
    <w:p w14:paraId="57032CE3" w14:textId="4BA0F25E" w:rsidR="00626ABC" w:rsidRDefault="00626ABC" w:rsidP="00626ABC">
      <w:r>
        <w:rPr>
          <w:rFonts w:ascii="Segoe UI Symbol" w:hAnsi="Segoe UI Symbol" w:cs="Segoe UI Symbol"/>
        </w:rPr>
        <w:t>⯀</w:t>
      </w:r>
      <w:r>
        <w:t xml:space="preserve"> grau de escolaridade, no caso de Pessoa Física;</w:t>
      </w:r>
    </w:p>
    <w:p w14:paraId="6F9C1685" w14:textId="787ECF58" w:rsidR="00626ABC" w:rsidRDefault="00626ABC" w:rsidP="00626ABC">
      <w:r>
        <w:rPr>
          <w:rFonts w:ascii="Segoe UI Symbol" w:hAnsi="Segoe UI Symbol" w:cs="Segoe UI Symbol"/>
        </w:rPr>
        <w:t>⯀</w:t>
      </w:r>
      <w:r>
        <w:t xml:space="preserve"> patrimônio, no caso de Pessoa Física; </w:t>
      </w:r>
    </w:p>
    <w:p w14:paraId="1E50DD6E" w14:textId="33E562F3" w:rsidR="00626ABC" w:rsidRDefault="00626ABC" w:rsidP="00626ABC">
      <w:r>
        <w:rPr>
          <w:rFonts w:ascii="Segoe UI Symbol" w:hAnsi="Segoe UI Symbol" w:cs="Segoe UI Symbol"/>
        </w:rPr>
        <w:t>⯀</w:t>
      </w:r>
      <w:r>
        <w:t xml:space="preserve"> renda mensal, em caso de Pessoa Física;</w:t>
      </w:r>
    </w:p>
    <w:p w14:paraId="326E57C7" w14:textId="7E27A8BF" w:rsidR="00626ABC" w:rsidRDefault="00626ABC" w:rsidP="00626ABC">
      <w:r>
        <w:rPr>
          <w:rFonts w:ascii="Segoe UI Symbol" w:hAnsi="Segoe UI Symbol" w:cs="Segoe UI Symbol"/>
        </w:rPr>
        <w:t>⯀</w:t>
      </w:r>
      <w:r>
        <w:t xml:space="preserve"> faturamento mensal dos últimos doze meses, em caso de Pessoa Jurídica;</w:t>
      </w:r>
    </w:p>
    <w:p w14:paraId="431801A4" w14:textId="511E8A84" w:rsidR="00626ABC" w:rsidRDefault="00626ABC" w:rsidP="00626ABC">
      <w:r>
        <w:rPr>
          <w:rFonts w:ascii="Segoe UI Symbol" w:hAnsi="Segoe UI Symbol" w:cs="Segoe UI Symbol"/>
        </w:rPr>
        <w:t>⯀</w:t>
      </w:r>
      <w:r>
        <w:t xml:space="preserve"> no caso de Pessoa Jurídica, as informações dos sócios devem estar registradas.</w:t>
      </w:r>
    </w:p>
    <w:p w14:paraId="2BC11950" w14:textId="1BB4C452" w:rsidR="00626ABC" w:rsidRDefault="00626ABC" w:rsidP="00626ABC">
      <w:r>
        <w:t>Dica do Kléber: esse procedimento não deve ser feito apenas para cumprir as normas do BACEN, mas também no intuito de proteger sua instituição, bem como sua reputação como profissional.</w:t>
      </w:r>
    </w:p>
    <w:p w14:paraId="30089CC3" w14:textId="69FAD600" w:rsidR="00626ABC" w:rsidRDefault="00626ABC" w:rsidP="00626ABC">
      <w:r>
        <w:t>Além de termos o cadastro do cliente devidamente atualizado conforme falamos no tópico anterior, é importante destacar que as operações devem ser devidamente identificadas e registradas para consulta posterior por parte do regulador.</w:t>
      </w:r>
    </w:p>
    <w:p w14:paraId="2A3B76BA" w14:textId="1CA1104B" w:rsidR="00626ABC" w:rsidRDefault="00626ABC" w:rsidP="00626ABC">
      <w:r>
        <w:t xml:space="preserve">Prazo para manutenção dos registros: </w:t>
      </w:r>
    </w:p>
    <w:p w14:paraId="5141BA08" w14:textId="00DC3384" w:rsidR="00626ABC" w:rsidRDefault="00626ABC" w:rsidP="00626ABC">
      <w:r>
        <w:rPr>
          <w:rFonts w:ascii="Segoe UI Symbol" w:hAnsi="Segoe UI Symbol" w:cs="Segoe UI Symbol"/>
        </w:rPr>
        <w:t>⯀</w:t>
      </w:r>
      <w:r>
        <w:t xml:space="preserve"> 10 anos a contar da data da conclusão da transação ou do encerramento do relacionamento, podendo esse prazo ser estendido pela autoridade competente.</w:t>
      </w:r>
    </w:p>
    <w:p w14:paraId="1AB10B7F" w14:textId="027308C8" w:rsidR="00626ABC" w:rsidRDefault="00626ABC" w:rsidP="00626ABC">
      <w:r>
        <w:rPr>
          <w:noProof/>
        </w:rPr>
        <w:drawing>
          <wp:inline distT="0" distB="0" distL="0" distR="0" wp14:anchorId="5A0DE19C" wp14:editId="3EB426A0">
            <wp:extent cx="5400040" cy="2505075"/>
            <wp:effectExtent l="0" t="0" r="0"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2505075"/>
                    </a:xfrm>
                    <a:prstGeom prst="rect">
                      <a:avLst/>
                    </a:prstGeom>
                    <a:noFill/>
                    <a:ln>
                      <a:noFill/>
                    </a:ln>
                  </pic:spPr>
                </pic:pic>
              </a:graphicData>
            </a:graphic>
          </wp:inline>
        </w:drawing>
      </w:r>
    </w:p>
    <w:p w14:paraId="43443BB6" w14:textId="77777777" w:rsidR="009F3962" w:rsidRDefault="009F3962" w:rsidP="00626ABC"/>
    <w:p w14:paraId="1FEDDC4B" w14:textId="77777777" w:rsidR="009F3962" w:rsidRDefault="009F3962" w:rsidP="00626ABC"/>
    <w:p w14:paraId="5509AFF3" w14:textId="77777777" w:rsidR="009F3962" w:rsidRDefault="009F3962" w:rsidP="00626ABC"/>
    <w:p w14:paraId="122483BA" w14:textId="0328F347" w:rsidR="00626ABC" w:rsidRDefault="009F3962" w:rsidP="00626ABC">
      <w:r w:rsidRPr="009F3962">
        <w:lastRenderedPageBreak/>
        <w:t>Comunicações ao COAF</w:t>
      </w:r>
    </w:p>
    <w:p w14:paraId="22A1200B" w14:textId="3DEC06F8" w:rsidR="009F3962" w:rsidRDefault="009F3962" w:rsidP="009F3962">
      <w:r>
        <w:t xml:space="preserve">Já falamos que o COAF é responsável pelo controle de atividades financeiras com o objetivo de combater a lavagem de dinheiro, certo? </w:t>
      </w:r>
    </w:p>
    <w:p w14:paraId="17C130B5" w14:textId="63794229" w:rsidR="009F3962" w:rsidRDefault="009F3962" w:rsidP="009F3962">
      <w:r>
        <w:t xml:space="preserve">O ponto é que o COAF não conseguiria agir com eficácia se tivesse de agir sozinho. </w:t>
      </w:r>
    </w:p>
    <w:p w14:paraId="79A79879" w14:textId="3DDD0799" w:rsidR="009F3962" w:rsidRDefault="009F3962" w:rsidP="009F3962">
      <w:r>
        <w:t>Por isso, o BACEN deliberou, em sua circular, sobre a obrigação de as instituições comunicar ao COAF acerca movimentações, conforme listado abaixo:</w:t>
      </w:r>
    </w:p>
    <w:p w14:paraId="3A3A1FB7" w14:textId="508C9FD8" w:rsidR="009F3962" w:rsidRDefault="009F3962" w:rsidP="009F3962">
      <w:r>
        <w:t xml:space="preserve"> </w:t>
      </w:r>
      <w:r>
        <w:rPr>
          <w:rFonts w:ascii="Segoe UI Symbol" w:hAnsi="Segoe UI Symbol" w:cs="Segoe UI Symbol"/>
        </w:rPr>
        <w:t>⯀</w:t>
      </w:r>
      <w:r>
        <w:t xml:space="preserve"> de emissão ou recarga de valores em espécie, em um ou mais cartões pré-pagos, em montante acumulado igual ou superior a R$50.000,00 ou o equivalente em moeda estrangeira, no mês-calendário; </w:t>
      </w:r>
    </w:p>
    <w:p w14:paraId="35E2F21B" w14:textId="5AD24ACE" w:rsidR="009F3962" w:rsidRDefault="009F3962" w:rsidP="009F3962">
      <w:r>
        <w:rPr>
          <w:rFonts w:ascii="Segoe UI Symbol" w:hAnsi="Segoe UI Symbol" w:cs="Segoe UI Symbol"/>
        </w:rPr>
        <w:t>⯀</w:t>
      </w:r>
      <w:r>
        <w:t xml:space="preserve"> de depósito em espécie, saque em espécie, ou saque em espécie por meio de cartão pré-pago, de valor igual ou superior a R$50.000,00; </w:t>
      </w:r>
    </w:p>
    <w:p w14:paraId="5C7FC0B5" w14:textId="4BBADD8D" w:rsidR="009F3962" w:rsidRDefault="009F3962" w:rsidP="009F3962">
      <w:r>
        <w:rPr>
          <w:rFonts w:ascii="Segoe UI Symbol" w:hAnsi="Segoe UI Symbol" w:cs="Segoe UI Symbol"/>
        </w:rPr>
        <w:t>⯀</w:t>
      </w:r>
      <w:r>
        <w:t xml:space="preserve"> de emissão de cheque administrativo, TED ou de qualquer outro instrumento de transferência de fundos contra pagamento em espécie, de valor igual ou superior a R$50.000,00; </w:t>
      </w:r>
    </w:p>
    <w:p w14:paraId="1B395089" w14:textId="6A4DF4F2" w:rsidR="009F3962" w:rsidRDefault="009F3962" w:rsidP="009F3962">
      <w:r>
        <w:rPr>
          <w:rFonts w:ascii="Segoe UI Symbol" w:hAnsi="Segoe UI Symbol" w:cs="Segoe UI Symbol"/>
        </w:rPr>
        <w:t>⯀</w:t>
      </w:r>
      <w:r>
        <w:t xml:space="preserve"> realizadas ou serviços prestados cujo valor seja igual ou superior a R$ 2.000,00 e que, considerando as partes envolvidas, os valores, as formas de realização, os instrumentos utilizados ou a falta de fundamento econômico ou legal possam configurar a existência de indícios dos crimes previstos na Lei 9.613/98</w:t>
      </w:r>
    </w:p>
    <w:p w14:paraId="4872B999" w14:textId="1013FFEE" w:rsidR="009F3962" w:rsidRDefault="009F3962" w:rsidP="009F3962">
      <w:r>
        <w:rPr>
          <w:rFonts w:ascii="Segoe UI Symbol" w:hAnsi="Segoe UI Symbol" w:cs="Segoe UI Symbol"/>
        </w:rPr>
        <w:t>⯀</w:t>
      </w:r>
      <w:r>
        <w:t xml:space="preserve"> realizadas ou serviços prestados que, por sua habitualidade, valor ou forma, configurem artifício que objetive burlar os mecanismos de identificação, controle e registro; </w:t>
      </w:r>
    </w:p>
    <w:p w14:paraId="6120C5F3" w14:textId="7F5F8F93" w:rsidR="009F3962" w:rsidRDefault="009F3962" w:rsidP="009F3962">
      <w:r>
        <w:rPr>
          <w:rFonts w:ascii="Segoe UI Symbol" w:hAnsi="Segoe UI Symbol" w:cs="Segoe UI Symbol"/>
        </w:rPr>
        <w:t>⯀</w:t>
      </w:r>
      <w:r>
        <w:t xml:space="preserve"> realizadas ou os serviços prestados, qualquer que seja o valor, a pessoas que reconhecidamente tenham perpetrado ou intentam perpetrar atos terroristas ou neles participado ou facilitado o seu cometimento, bem como a existência de recursos pertencentes ou por eles controlados direta ou indiretamente; </w:t>
      </w:r>
    </w:p>
    <w:p w14:paraId="3B96AD6F" w14:textId="25A67EEA" w:rsidR="009F3962" w:rsidRDefault="009F3962" w:rsidP="009F3962">
      <w:r>
        <w:rPr>
          <w:rFonts w:ascii="Segoe UI Symbol" w:hAnsi="Segoe UI Symbol" w:cs="Segoe UI Symbol"/>
        </w:rPr>
        <w:t>⯀</w:t>
      </w:r>
      <w:r>
        <w:t xml:space="preserve"> os atos suspeitos de financiamento do terrorismo.</w:t>
      </w:r>
    </w:p>
    <w:p w14:paraId="6CA2DBAC" w14:textId="035D1976" w:rsidR="009F3962" w:rsidRDefault="009F3962" w:rsidP="009F3962">
      <w:r>
        <w:t>As comunicações ao COAF, nesses casos, devem ser realizadas até o dia útil seguinte à sua verificação, sem que seja dada ciência à parte cuja ação foi comunicada ou a terceiros.</w:t>
      </w:r>
    </w:p>
    <w:p w14:paraId="246DA6DC" w14:textId="17FDEC40" w:rsidR="009F3962" w:rsidRDefault="009F3962" w:rsidP="009F3962">
      <w:r>
        <w:t>Vale ainda lembrar que diversas outras empresas, por desenvolverem atividades sujeitas a sua utilização para a lavagem de dinheiro, têm obrigações de comunicação de operações suspeitas ao COAF. Entre elas, podemos destacar:</w:t>
      </w:r>
    </w:p>
    <w:p w14:paraId="2F0FF24C" w14:textId="64D344A9" w:rsidR="009F3962" w:rsidRDefault="009F3962" w:rsidP="009F3962">
      <w:r>
        <w:rPr>
          <w:rFonts w:ascii="Segoe UI Symbol" w:hAnsi="Segoe UI Symbol" w:cs="Segoe UI Symbol"/>
        </w:rPr>
        <w:t>⯀</w:t>
      </w:r>
      <w:r>
        <w:t xml:space="preserve"> as administradoras de cartões de credenciamento ou cartões de crédito, bem como as administradoras de consórcios para aquisição de bens ou serviços; ~</w:t>
      </w:r>
    </w:p>
    <w:p w14:paraId="52F29AE8" w14:textId="079E73F5" w:rsidR="009F3962" w:rsidRDefault="009F3962" w:rsidP="009F3962">
      <w:r>
        <w:rPr>
          <w:rFonts w:ascii="Segoe UI Symbol" w:hAnsi="Segoe UI Symbol" w:cs="Segoe UI Symbol"/>
        </w:rPr>
        <w:t>⯀</w:t>
      </w:r>
      <w:r>
        <w:t xml:space="preserve"> as Pessoas Físicas ou Jurídicas que exerçam atividades de promoção imobiliária ou compra e venda de imóveis; </w:t>
      </w:r>
    </w:p>
    <w:p w14:paraId="2F29E4FF" w14:textId="73831A8C" w:rsidR="009F3962" w:rsidRDefault="009F3962" w:rsidP="009F3962">
      <w:r>
        <w:rPr>
          <w:rFonts w:ascii="Segoe UI Symbol" w:hAnsi="Segoe UI Symbol" w:cs="Segoe UI Symbol"/>
        </w:rPr>
        <w:t>⯀</w:t>
      </w:r>
      <w:r>
        <w:t xml:space="preserve"> as Pessoas Físicas ou Jurídicas que comercializem jóias, pedras e metais preciosos, objetos de arte e antiguidades; </w:t>
      </w:r>
    </w:p>
    <w:p w14:paraId="1EAEF740" w14:textId="769955F2" w:rsidR="009F3962" w:rsidRDefault="009F3962" w:rsidP="009F3962">
      <w:r>
        <w:rPr>
          <w:rFonts w:ascii="Segoe UI Symbol" w:hAnsi="Segoe UI Symbol" w:cs="Segoe UI Symbol"/>
        </w:rPr>
        <w:t>⯀</w:t>
      </w:r>
      <w:r>
        <w:t xml:space="preserve"> as empresas de transporte e guarda de valores;</w:t>
      </w:r>
    </w:p>
    <w:p w14:paraId="4F73F12C" w14:textId="27F4D4ED" w:rsidR="009F3962" w:rsidRDefault="009F3962" w:rsidP="009F3962">
      <w:r>
        <w:rPr>
          <w:rFonts w:ascii="Segoe UI Symbol" w:hAnsi="Segoe UI Symbol" w:cs="Segoe UI Symbol"/>
        </w:rPr>
        <w:lastRenderedPageBreak/>
        <w:t>⯀</w:t>
      </w:r>
      <w:r>
        <w:t xml:space="preserve"> as Pessoas Físicas ou Jurídicas que comercializem bens de luxo ou de alto valor, intermedeiem a sua comercialização ou exerçam atividades que envolvam grande volume de recursos em espécie, tal como concessionárias automotivas</w:t>
      </w:r>
    </w:p>
    <w:p w14:paraId="1CDE0300" w14:textId="6CC04A71" w:rsidR="009F3962" w:rsidRDefault="009F3962" w:rsidP="009F3962">
      <w:r>
        <w:t xml:space="preserve">Quando falamos sobre a obrigatoriedade de comunicação ao COAF, notamos que a circular do BACEN dispõe que todas operações suspeitas devem ser comunicadas ao COAF. Para sair do campo da subjetividade, vamos detalhar um pouco mais o que seriam, segundo a BACEN, operações suspeitas: </w:t>
      </w:r>
    </w:p>
    <w:p w14:paraId="23CC59DA" w14:textId="060E46D7" w:rsidR="009F3962" w:rsidRDefault="009F3962" w:rsidP="009F3962">
      <w:r>
        <w:rPr>
          <w:rFonts w:ascii="Segoe UI Symbol" w:hAnsi="Segoe UI Symbol" w:cs="Segoe UI Symbol"/>
        </w:rPr>
        <w:t>⯀</w:t>
      </w:r>
      <w:r>
        <w:t xml:space="preserve"> operações cujos valores pareçam ser objetivamente incompatíveis com a ocupação profissional, os rendimentos e/ou a situação patrimonial ou financeira de qualquer parte envolvida, tomando-se por base as respectivas informações cadastrais; </w:t>
      </w:r>
    </w:p>
    <w:p w14:paraId="1A5A3584" w14:textId="5657EC3A" w:rsidR="009F3962" w:rsidRDefault="009F3962" w:rsidP="009F3962">
      <w:r>
        <w:rPr>
          <w:rFonts w:ascii="Segoe UI Symbol" w:hAnsi="Segoe UI Symbol" w:cs="Segoe UI Symbol"/>
        </w:rPr>
        <w:t>⯀</w:t>
      </w:r>
      <w:r>
        <w:t xml:space="preserve"> operações realizadas entre as mesmas partes ou em benefício das mesmas partes, nas quais haja seguidos ganhos ou perdas no que se refere a algum dos envolvidos; </w:t>
      </w:r>
    </w:p>
    <w:p w14:paraId="1F6AFF41" w14:textId="256CB491" w:rsidR="009F3962" w:rsidRDefault="009F3962" w:rsidP="009F3962">
      <w:r>
        <w:rPr>
          <w:rFonts w:ascii="Segoe UI Symbol" w:hAnsi="Segoe UI Symbol" w:cs="Segoe UI Symbol"/>
        </w:rPr>
        <w:t>⯀</w:t>
      </w:r>
      <w:r>
        <w:t xml:space="preserve"> operações que evidenciem oscilação significativa em relação ao volume e/ou frequência de negócios de qualquer das partes envolvidas; </w:t>
      </w:r>
    </w:p>
    <w:p w14:paraId="31AFC31D" w14:textId="2B0622AB" w:rsidR="009F3962" w:rsidRDefault="009F3962" w:rsidP="009F3962">
      <w:r>
        <w:rPr>
          <w:rFonts w:ascii="Segoe UI Symbol" w:hAnsi="Segoe UI Symbol" w:cs="Segoe UI Symbol"/>
        </w:rPr>
        <w:t>⯀</w:t>
      </w:r>
      <w:r>
        <w:t xml:space="preserve"> operações cujos desdobramentos contemplem características que possam constituir artifício para burla da identificação dos efetivos envolvidos e/ou beneficiários respectivos;</w:t>
      </w:r>
    </w:p>
    <w:p w14:paraId="40337FC1" w14:textId="26FBF581" w:rsidR="009F3962" w:rsidRDefault="009F3962" w:rsidP="009F3962">
      <w:r>
        <w:t xml:space="preserve"> </w:t>
      </w:r>
      <w:r>
        <w:rPr>
          <w:rFonts w:ascii="Segoe UI Symbol" w:hAnsi="Segoe UI Symbol" w:cs="Segoe UI Symbol"/>
        </w:rPr>
        <w:t>⯀</w:t>
      </w:r>
      <w:r>
        <w:t xml:space="preserve"> operações cujas características e/ou desdobramentos evidenciem atuação, de forma reiterada, em nome de terceiros;</w:t>
      </w:r>
    </w:p>
    <w:p w14:paraId="5BA260BE" w14:textId="577B0F04" w:rsidR="009F3962" w:rsidRDefault="009F3962" w:rsidP="009F3962">
      <w:r>
        <w:t xml:space="preserve"> </w:t>
      </w:r>
      <w:r>
        <w:rPr>
          <w:rFonts w:ascii="Segoe UI Symbol" w:hAnsi="Segoe UI Symbol" w:cs="Segoe UI Symbol"/>
        </w:rPr>
        <w:t>⯀</w:t>
      </w:r>
      <w:r>
        <w:t xml:space="preserve"> operações que evidenciem mudança repentina e objetivamente injustificada relativamente às modalidades operacionais usualmente utilizadas pelo(s) envolvido(s);</w:t>
      </w:r>
    </w:p>
    <w:p w14:paraId="0EF39760" w14:textId="280B6053" w:rsidR="009F3962" w:rsidRDefault="009F3962" w:rsidP="009F3962">
      <w:r>
        <w:t xml:space="preserve"> </w:t>
      </w:r>
      <w:r>
        <w:rPr>
          <w:rFonts w:ascii="Segoe UI Symbol" w:hAnsi="Segoe UI Symbol" w:cs="Segoe UI Symbol"/>
        </w:rPr>
        <w:t>⯀</w:t>
      </w:r>
      <w:r>
        <w:t xml:space="preserve"> operações realizadas com finalidade de gerar perda ou ganho para as quais falte, objetivamente, fundamento econômico; </w:t>
      </w:r>
    </w:p>
    <w:p w14:paraId="350BE5B7" w14:textId="7362956D" w:rsidR="009F3962" w:rsidRDefault="009F3962" w:rsidP="009F3962">
      <w:r>
        <w:rPr>
          <w:rFonts w:ascii="Segoe UI Symbol" w:hAnsi="Segoe UI Symbol" w:cs="Segoe UI Symbol"/>
        </w:rPr>
        <w:t>⯀</w:t>
      </w:r>
      <w:r>
        <w:t xml:space="preserve"> operações com a participação de pessoas naturais residentes ou entidades constituídas em países que não aplicam ou aplicam insuficientemente as recomendações do Grupo de Ação Financeira contra a Lavagem de Dinheiro e o Financiamento do Terrorismo (Gaf);</w:t>
      </w:r>
    </w:p>
    <w:p w14:paraId="3A1F3223" w14:textId="7FFAEAC7" w:rsidR="009F3962" w:rsidRDefault="009F3962" w:rsidP="009F3962">
      <w:r>
        <w:t xml:space="preserve"> </w:t>
      </w:r>
      <w:r>
        <w:rPr>
          <w:rFonts w:ascii="Segoe UI Symbol" w:hAnsi="Segoe UI Symbol" w:cs="Segoe UI Symbol"/>
        </w:rPr>
        <w:t>⯀</w:t>
      </w:r>
      <w:r>
        <w:t xml:space="preserve"> operações liquidadas em espécie, se e quando permitido; </w:t>
      </w:r>
    </w:p>
    <w:p w14:paraId="188A94D0" w14:textId="232FE899" w:rsidR="009F3962" w:rsidRDefault="009F3962" w:rsidP="009F3962">
      <w:r>
        <w:rPr>
          <w:rFonts w:ascii="Segoe UI Symbol" w:hAnsi="Segoe UI Symbol" w:cs="Segoe UI Symbol"/>
        </w:rPr>
        <w:t>⯀</w:t>
      </w:r>
      <w:r>
        <w:t xml:space="preserve"> transferências privadas, sem motivação aparente, de recursos e de valores mobiliários;</w:t>
      </w:r>
    </w:p>
    <w:p w14:paraId="7EC2B5F0" w14:textId="398AF6EE" w:rsidR="009F3962" w:rsidRDefault="009F3962" w:rsidP="009F3962">
      <w:r>
        <w:rPr>
          <w:rFonts w:ascii="Segoe UI Symbol" w:hAnsi="Segoe UI Symbol" w:cs="Segoe UI Symbol"/>
        </w:rPr>
        <w:t>⯀</w:t>
      </w:r>
      <w:r>
        <w:t xml:space="preserve"> operações cujo grau de complexidade e risco se configurem incompatíveis com a qualificação técnica do cliente ou de seu representante; </w:t>
      </w:r>
    </w:p>
    <w:p w14:paraId="1089B7AB" w14:textId="737A653E" w:rsidR="009F3962" w:rsidRDefault="009F3962" w:rsidP="009F3962">
      <w:r>
        <w:rPr>
          <w:rFonts w:ascii="Segoe UI Symbol" w:hAnsi="Segoe UI Symbol" w:cs="Segoe UI Symbol"/>
        </w:rPr>
        <w:t>⯀</w:t>
      </w:r>
      <w:r>
        <w:t xml:space="preserve"> depósitos ou transferências realizadas por terceiros, para a liquidação de operações de cliente, ou para prestação de garantia em operações nos mercados de liquidação futura;</w:t>
      </w:r>
    </w:p>
    <w:p w14:paraId="5858C3DE" w14:textId="1EF68C8B" w:rsidR="009F3962" w:rsidRDefault="009F3962" w:rsidP="009F3962">
      <w:r>
        <w:rPr>
          <w:rFonts w:ascii="Segoe UI Symbol" w:hAnsi="Segoe UI Symbol" w:cs="Segoe UI Symbol"/>
        </w:rPr>
        <w:t>⯀</w:t>
      </w:r>
      <w:r>
        <w:t xml:space="preserve"> pagamentos a terceiros, sob qualquer forma, por conta de liquidação de operações ou resgates de valores depositados em garantia, registrados em nome do cliente; </w:t>
      </w:r>
    </w:p>
    <w:p w14:paraId="36B765AD" w14:textId="2170A9FE" w:rsidR="009F3962" w:rsidRDefault="009F3962" w:rsidP="009F3962">
      <w:r>
        <w:rPr>
          <w:rFonts w:ascii="Segoe UI Symbol" w:hAnsi="Segoe UI Symbol" w:cs="Segoe UI Symbol"/>
        </w:rPr>
        <w:t>⯀</w:t>
      </w:r>
      <w:r>
        <w:t xml:space="preserve"> situações em que não seja possível manter atualizadas as informações cadastrais de seus clientes; </w:t>
      </w:r>
    </w:p>
    <w:p w14:paraId="70390C38" w14:textId="0DDE3A56" w:rsidR="009F3962" w:rsidRDefault="009F3962" w:rsidP="009F3962">
      <w:r>
        <w:rPr>
          <w:rFonts w:ascii="Segoe UI Symbol" w:hAnsi="Segoe UI Symbol" w:cs="Segoe UI Symbol"/>
        </w:rPr>
        <w:t>⯀</w:t>
      </w:r>
      <w:r>
        <w:t xml:space="preserve"> situações em que as diligências previstas de confirmação de identificação ou de exigências adicionais a pessoas politicamente expostas não possam ser concluídas; </w:t>
      </w:r>
    </w:p>
    <w:p w14:paraId="4B7A02A5" w14:textId="17DD3B82" w:rsidR="009F3962" w:rsidRDefault="009F3962" w:rsidP="009F3962">
      <w:r>
        <w:rPr>
          <w:rFonts w:ascii="Segoe UI Symbol" w:hAnsi="Segoe UI Symbol" w:cs="Segoe UI Symbol"/>
        </w:rPr>
        <w:lastRenderedPageBreak/>
        <w:t>⯀</w:t>
      </w:r>
      <w:r>
        <w:t xml:space="preserve"> operações ou propostas cujas características indiquem risco de ocorrência dos crimes previstos na Lei 9.613/98, ou com eles relacionados;</w:t>
      </w:r>
    </w:p>
    <w:p w14:paraId="61F6CBA9" w14:textId="382C559D" w:rsidR="009F3962" w:rsidRDefault="009F3962" w:rsidP="009F3962">
      <w:r>
        <w:t xml:space="preserve"> </w:t>
      </w:r>
      <w:r>
        <w:rPr>
          <w:rFonts w:ascii="Segoe UI Symbol" w:hAnsi="Segoe UI Symbol" w:cs="Segoe UI Symbol"/>
        </w:rPr>
        <w:t>⯀</w:t>
      </w:r>
      <w:r>
        <w:t xml:space="preserve"> propostas de início de relacionamento e operações com pessoas politicamente expostas de nacionalidade brasileira e as oriundas de países com os quais o Brasil tenha elevado número de transações financeiras e comerciais, fronteiras comuns ou proximidade étnica, linguística ou política; </w:t>
      </w:r>
    </w:p>
    <w:p w14:paraId="35E77EB3" w14:textId="6FAFF038" w:rsidR="009F3962" w:rsidRDefault="009F3962" w:rsidP="009F3962">
      <w:r>
        <w:rPr>
          <w:rFonts w:ascii="Segoe UI Symbol" w:hAnsi="Segoe UI Symbol" w:cs="Segoe UI Symbol"/>
        </w:rPr>
        <w:t>⯀</w:t>
      </w:r>
      <w:r>
        <w:t xml:space="preserve"> operações oriundas ou destinadas a países ou territórios que aplicam insuficientemente as recomendações do Gafi, conforme informações divulgadas pelo próprio BACEN; Coloquei em negrito a frase pessoas politicamente expostas justamente por ser nosso próximo tema.</w:t>
      </w:r>
    </w:p>
    <w:p w14:paraId="4B9F7740" w14:textId="3BD6562C" w:rsidR="009F3962" w:rsidRDefault="009F3962" w:rsidP="009F3962">
      <w:r>
        <w:rPr>
          <w:noProof/>
        </w:rPr>
        <w:drawing>
          <wp:inline distT="0" distB="0" distL="0" distR="0" wp14:anchorId="03C073AC" wp14:editId="17F7EC58">
            <wp:extent cx="5400040" cy="3676015"/>
            <wp:effectExtent l="0" t="0" r="0" b="63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3676015"/>
                    </a:xfrm>
                    <a:prstGeom prst="rect">
                      <a:avLst/>
                    </a:prstGeom>
                    <a:noFill/>
                    <a:ln>
                      <a:noFill/>
                    </a:ln>
                  </pic:spPr>
                </pic:pic>
              </a:graphicData>
            </a:graphic>
          </wp:inline>
        </w:drawing>
      </w:r>
    </w:p>
    <w:p w14:paraId="28B49A8C" w14:textId="74DF139E" w:rsidR="009F3962" w:rsidRDefault="00B924E2" w:rsidP="009F3962">
      <w:r w:rsidRPr="00B924E2">
        <w:t>COAF - Conselho de Controle de Atividades Financeiras</w:t>
      </w:r>
    </w:p>
    <w:p w14:paraId="59A0DF80" w14:textId="7FB4BC10" w:rsidR="00B924E2" w:rsidRDefault="00B924E2" w:rsidP="00B924E2">
      <w:r>
        <w:t>O Conselho de Controle de Atividades Financeiras, o COAF, possui como missão produzir inteligência financeira e promover a proteção dos setores econômicos contra a Lavagem de Dinheiro e o financiamento do terrorismo. O COAF é o órgão máximo no combate a este crime. Além disso, ele está vinculado ao BACEN, o Banco Central do Brasil.</w:t>
      </w:r>
    </w:p>
    <w:p w14:paraId="408C1460" w14:textId="539F9B63" w:rsidR="00B924E2" w:rsidRDefault="00B924E2" w:rsidP="00B924E2">
      <w:r>
        <w:t>O COAF coordena a troca de informações para viabilizar ações rápidas e eficientes no combate à ocultação ou dissimulação de bens, direitos e valores.</w:t>
      </w:r>
    </w:p>
    <w:p w14:paraId="049AB3CF" w14:textId="2D18FC42" w:rsidR="00B924E2" w:rsidRDefault="00B924E2" w:rsidP="00B924E2">
      <w:r>
        <w:t>*Obs: O Conselho aplica penas administrativas nos setores econômicos para os quais não exista órgão regulador ou fiscalizador próprio.</w:t>
      </w:r>
    </w:p>
    <w:p w14:paraId="5A3AC765" w14:textId="57473F44" w:rsidR="00B924E2" w:rsidRDefault="00B924E2" w:rsidP="00B924E2">
      <w:r>
        <w:t>No que se refere ao sistema financeiro, contudo, merecem especial atenção às normas emitidas pela CVM e pelo BACEN. As principais iniciativas regulatórias advindas desses órgãos para combate à lavagem de dinheiro são:</w:t>
      </w:r>
    </w:p>
    <w:p w14:paraId="536E6AF0" w14:textId="6352EF57" w:rsidR="00B924E2" w:rsidRDefault="00B924E2" w:rsidP="00B924E2">
      <w:r>
        <w:lastRenderedPageBreak/>
        <w:t xml:space="preserve"> </w:t>
      </w:r>
      <w:r>
        <w:rPr>
          <w:rFonts w:ascii="Segoe UI Symbol" w:hAnsi="Segoe UI Symbol" w:cs="Segoe UI Symbol"/>
        </w:rPr>
        <w:t>⯀</w:t>
      </w:r>
      <w:r>
        <w:t xml:space="preserve"> Instrução CVM 617. Dispõe sobre a identificação, o cadastro, o registro, as operações, a comunicação, os limites e a responsabilidade administrativa de que tratam os incisos I e II do art. 10; I e II do art. 11; e os arts. 12 e 13 da Lei 9.613/98, referente aos crimes de Lavagem ou ocultação de bens, direitos e valores;</w:t>
      </w:r>
    </w:p>
    <w:p w14:paraId="2D0094E7" w14:textId="32923AE8" w:rsidR="00B924E2" w:rsidRDefault="00B924E2" w:rsidP="00B924E2">
      <w:r>
        <w:t xml:space="preserve"> </w:t>
      </w:r>
      <w:r>
        <w:rPr>
          <w:rFonts w:ascii="Segoe UI Symbol" w:hAnsi="Segoe UI Symbol" w:cs="Segoe UI Symbol"/>
        </w:rPr>
        <w:t>⯀</w:t>
      </w:r>
      <w:r>
        <w:t xml:space="preserve"> Circular BACEN 3.978. Consolida as regras sobre os procedimentos a serem adotados na prevenção e no combate às atividades relacionadas com os crimes previstos na Lei 9.613/98.</w:t>
      </w:r>
    </w:p>
    <w:p w14:paraId="2EEAA256" w14:textId="6F70F391" w:rsidR="00B924E2" w:rsidRDefault="00B924E2" w:rsidP="00B924E2">
      <w:r>
        <w:rPr>
          <w:noProof/>
        </w:rPr>
        <w:drawing>
          <wp:inline distT="0" distB="0" distL="0" distR="0" wp14:anchorId="30211841" wp14:editId="331ECC17">
            <wp:extent cx="5391150" cy="209550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2095500"/>
                    </a:xfrm>
                    <a:prstGeom prst="rect">
                      <a:avLst/>
                    </a:prstGeom>
                    <a:noFill/>
                    <a:ln>
                      <a:noFill/>
                    </a:ln>
                  </pic:spPr>
                </pic:pic>
              </a:graphicData>
            </a:graphic>
          </wp:inline>
        </w:drawing>
      </w:r>
    </w:p>
    <w:p w14:paraId="5B3CEC86" w14:textId="35DBC108" w:rsidR="00B924E2" w:rsidRDefault="00197F5A" w:rsidP="00B924E2">
      <w:r w:rsidRPr="00197F5A">
        <w:t xml:space="preserve">NOVO - Indisponibilidade de Ativos </w:t>
      </w:r>
      <w:r>
        <w:t>–</w:t>
      </w:r>
      <w:r w:rsidRPr="00197F5A">
        <w:t xml:space="preserve"> CNSU</w:t>
      </w:r>
    </w:p>
    <w:p w14:paraId="715898EB" w14:textId="75C5C394" w:rsidR="00197F5A" w:rsidRDefault="00197F5A" w:rsidP="00197F5A">
      <w:r>
        <w:t>ONDE ENTRA O CSNU NA HISTÓRIA DE PREVENÇÃO A LAVAGEM DE DINHEIRO E O FINANCIAMENTO AO TERRORISMO:</w:t>
      </w:r>
    </w:p>
    <w:p w14:paraId="728CACAA" w14:textId="40BB8AB9" w:rsidR="00197F5A" w:rsidRDefault="00197F5A" w:rsidP="00197F5A">
      <w:r>
        <w:t>O Conselho de Segurança dos Nações Unidas (CSNU) constituiu uma resolução que possibilita o bloqueio de bens e valores de condenados por terrorismo com o objetivo de combater e evitar o financiamento e expansão do terrorismo no mundo.</w:t>
      </w:r>
    </w:p>
    <w:p w14:paraId="4B464A7F" w14:textId="2FF3E1C2" w:rsidR="00197F5A" w:rsidRDefault="00197F5A" w:rsidP="00197F5A">
      <w:r>
        <w:t>Essa resolução obriga sem demora e sem aviso prévio aos detentores dos ativos, que as instituições a respeito (bolsas de valores, corretoras, seguradoras e outros), mediante notificação dos órgãos reguladores e fiscalizadores, realizam a indisponibilidade de ativos de titularidade, direta ou indireta, de pessoas físicas, jurídicas ou entidades submetidas a sanções decorrentes das resoluções vigentes (cumprimento imediato).</w:t>
      </w:r>
    </w:p>
    <w:p w14:paraId="667AB9EE" w14:textId="6CBD29A7" w:rsidR="00197F5A" w:rsidRDefault="00197F5A" w:rsidP="00197F5A">
      <w:r>
        <w:t>Toda regra internacional precisa de um embasamento jurídico dentro de cada país e, aqui no Brasil, temos a Lei nº 13.810/19 (http://www.planalto.gov.br/ccivil_03/_ato2019-2022/2019/lei/l13810.htm) que obrigada o cumprimento de sanções impostas pelas resoluções do CSNU e sua aplicabilidade imediata.</w:t>
      </w:r>
    </w:p>
    <w:p w14:paraId="495FD834" w14:textId="3A288D25" w:rsidR="00197F5A" w:rsidRDefault="00197F5A" w:rsidP="00197F5A">
      <w:r>
        <w:t>Também, os envolvidos na indisponibilidade, estarão restringidos a entrar ou sair território nacional e não poderão importar ou exportar bens para outras localidades. Sem ser no cumprimento imediato, a indisponibilidade pode partir de duas frentes:</w:t>
      </w:r>
    </w:p>
    <w:p w14:paraId="06EA386E" w14:textId="3A1257C0" w:rsidR="00197F5A" w:rsidRDefault="00197F5A" w:rsidP="00197F5A">
      <w:r>
        <w:rPr>
          <w:rFonts w:ascii="Segoe UI Symbol" w:hAnsi="Segoe UI Symbol" w:cs="Segoe UI Symbol"/>
        </w:rPr>
        <w:t>⯀</w:t>
      </w:r>
      <w:r>
        <w:t xml:space="preserve"> Por execução das resoluções do Conselho de Segurança das Nações Unidas ou seu comitê:</w:t>
      </w:r>
    </w:p>
    <w:p w14:paraId="6C93527A" w14:textId="6D6796D5" w:rsidR="00197F5A" w:rsidRDefault="00197F5A" w:rsidP="00197F5A">
      <w:r>
        <w:t>Após o recebimento das provas, o juiz terá o prazo de 24 horas para solicitar cumprimento da execução da resolução. Dentro de 15 dias, terá a finalização do processo, podendo o indivíduo ser indiciado ou não. Caso não seja, o Conselho de Segurança das Nações Unidas solicitará a revogação da indisponibilidade.</w:t>
      </w:r>
    </w:p>
    <w:p w14:paraId="47641E77" w14:textId="36FB9A9F" w:rsidR="00197F5A" w:rsidRDefault="00197F5A" w:rsidP="00197F5A">
      <w:r>
        <w:rPr>
          <w:rFonts w:ascii="Segoe UI Symbol" w:hAnsi="Segoe UI Symbol" w:cs="Segoe UI Symbol"/>
        </w:rPr>
        <w:lastRenderedPageBreak/>
        <w:t>⯀</w:t>
      </w:r>
      <w:r>
        <w:t xml:space="preserve"> Requerimento de autoridade central estrangeira, em que o pedido está de acordo com as resoluções do Conselho de Segurança das Nações Unidas ou seu comitê:</w:t>
      </w:r>
    </w:p>
    <w:p w14:paraId="5F5209CB" w14:textId="06639FF1" w:rsidR="00197F5A" w:rsidRDefault="00197F5A" w:rsidP="00197F5A">
      <w:r>
        <w:t>O requerimento por parte de autoridade central estrangeira, será avaliado e investigado. O Ministério da Justiça e Segurança Pública irá informar se as medidas foram adotadas ou se observou ausência de evidências para atender à solicitação do requerimento.</w:t>
      </w:r>
    </w:p>
    <w:p w14:paraId="03704446" w14:textId="3EED05F1" w:rsidR="00197F5A" w:rsidRDefault="00197F5A" w:rsidP="00197F5A">
      <w:r>
        <w:t>Caso a indisponibilidade de ativos ocorra, os ativos indisponibilizados poderão ser parcialmente liberados para despesas básicas, pagamento de serviços jurídicos ou pagamento de taxas de administração de investimentos indisponíveis. A liberação acontece em 48 horas da solicitação, caso não exista objeção por parte do Conselho de Segurança das Nações Unidas ou do comitê responsável.</w:t>
      </w:r>
    </w:p>
    <w:p w14:paraId="2609CE16" w14:textId="1E049CAF" w:rsidR="00197F5A" w:rsidRDefault="00197F5A" w:rsidP="00197F5A">
      <w:r>
        <w:rPr>
          <w:noProof/>
        </w:rPr>
        <w:drawing>
          <wp:inline distT="0" distB="0" distL="0" distR="0" wp14:anchorId="49D383CE" wp14:editId="4BFB4080">
            <wp:extent cx="5391150" cy="269557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1150" cy="2695575"/>
                    </a:xfrm>
                    <a:prstGeom prst="rect">
                      <a:avLst/>
                    </a:prstGeom>
                    <a:noFill/>
                    <a:ln>
                      <a:noFill/>
                    </a:ln>
                  </pic:spPr>
                </pic:pic>
              </a:graphicData>
            </a:graphic>
          </wp:inline>
        </w:drawing>
      </w:r>
    </w:p>
    <w:p w14:paraId="31FBAC9C" w14:textId="0F9A200A" w:rsidR="00197F5A" w:rsidRDefault="007E4E9C" w:rsidP="00197F5A">
      <w:r w:rsidRPr="007E4E9C">
        <w:t>Organismos Nacionais e de Cooperação Internacional para Prevenção a Lavagem de Dinheiro</w:t>
      </w:r>
    </w:p>
    <w:p w14:paraId="36FA8952" w14:textId="14DA179B" w:rsidR="007E4E9C" w:rsidRDefault="007E4E9C" w:rsidP="007E4E9C">
      <w:r>
        <w:t>Os organismos nacionais que participam do processo e fazem as PLD-FT funcionar, são:</w:t>
      </w:r>
    </w:p>
    <w:p w14:paraId="069B4271" w14:textId="658E081C" w:rsidR="007E4E9C" w:rsidRDefault="007E4E9C" w:rsidP="007E4E9C">
      <w:r>
        <w:t>Banco Central - Cria as políticas de PLD-FT.</w:t>
      </w:r>
    </w:p>
    <w:p w14:paraId="67C881C4" w14:textId="7632BF65" w:rsidR="007E4E9C" w:rsidRDefault="007E4E9C" w:rsidP="007E4E9C">
      <w:r>
        <w:t>Instituições Financeiras - Responsáveis por identificar os clientes e/ou beneficiário final, obter e registrar dados dos clientes, manter suas informações atualizadas e comunicar ao COAF operações e situações atípicas ou suspeitas;</w:t>
      </w:r>
    </w:p>
    <w:p w14:paraId="0370D40C" w14:textId="7A42F80B" w:rsidR="007E4E9C" w:rsidRDefault="007E4E9C" w:rsidP="007E4E9C">
      <w:r>
        <w:t xml:space="preserve">COAF - Responsável em disciplinar, aplicar penas administrativas, receber, examinar e identificar ocorrências suspeitas de atividades ilícitas relacionadas à LD-FT. </w:t>
      </w:r>
    </w:p>
    <w:p w14:paraId="42BBB689" w14:textId="13E57A35" w:rsidR="007E4E9C" w:rsidRDefault="007E4E9C" w:rsidP="007E4E9C">
      <w:r>
        <w:t>Ministério Público Federal, Polícia Federal e Ministérios Públicos Estaduais - São os responsáveis pelas investigações dos casos ilícitos ou suspeitos.</w:t>
      </w:r>
    </w:p>
    <w:p w14:paraId="2E1164DD" w14:textId="779A6C8B" w:rsidR="007E4E9C" w:rsidRDefault="007E4E9C" w:rsidP="007E4E9C">
      <w:r>
        <w:t>Os organismos internacionais com maior participação na PLD-FT são:</w:t>
      </w:r>
    </w:p>
    <w:p w14:paraId="6B5E0150" w14:textId="332D9ADA" w:rsidR="007E4E9C" w:rsidRDefault="007E4E9C" w:rsidP="007E4E9C">
      <w:r>
        <w:t>GAFI - Possui o objetivo de desenvolver e promover políticas nacionais e internacionais de combate à lavagem de dinheiro e ao financiamento do terrorismo.</w:t>
      </w:r>
    </w:p>
    <w:p w14:paraId="193F4BBB" w14:textId="72334010" w:rsidR="007E4E9C" w:rsidRDefault="007E4E9C" w:rsidP="007E4E9C">
      <w:r>
        <w:t>ONU -  O marco inicial da atuação da ONU na prevenção e combate à lavagem de dinheiro foi Convenção das Nações Unidas contra o Tráfico Ilícito de Entorpecentes e Substâncias Psicotrópicas, conhecida como Convenção de Viena.</w:t>
      </w:r>
    </w:p>
    <w:p w14:paraId="09572453" w14:textId="366C422B" w:rsidR="007E4E9C" w:rsidRDefault="007E4E9C" w:rsidP="007E4E9C">
      <w:r>
        <w:lastRenderedPageBreak/>
        <w:t>Convenção de Viena - Criminaliza a lavagem de dinheiro e estabelece critérios para a privação das organizações criminosas ligadas ao tráfico de entorpecentes do produto de suas atividades ilícitas.</w:t>
      </w:r>
    </w:p>
    <w:p w14:paraId="26CBDBBA" w14:textId="0DC84B56" w:rsidR="007E4E9C" w:rsidRDefault="007E4E9C" w:rsidP="007E4E9C">
      <w:r>
        <w:t>Organização dos Estados Americanos (OEA) - Atua em  programas de ação para reduzir a produção, o tráfico e o uso  de drogas na América, bem como combater a prática de lavagem de dinheiro.</w:t>
      </w:r>
    </w:p>
    <w:p w14:paraId="57FED44B" w14:textId="2582B5BA" w:rsidR="007E4E9C" w:rsidRDefault="007E4E9C" w:rsidP="007E4E9C">
      <w:r>
        <w:rPr>
          <w:noProof/>
        </w:rPr>
        <w:drawing>
          <wp:inline distT="0" distB="0" distL="0" distR="0" wp14:anchorId="72A52CBA" wp14:editId="58ACB3A1">
            <wp:extent cx="5391150" cy="258127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150" cy="2581275"/>
                    </a:xfrm>
                    <a:prstGeom prst="rect">
                      <a:avLst/>
                    </a:prstGeom>
                    <a:noFill/>
                    <a:ln>
                      <a:noFill/>
                    </a:ln>
                  </pic:spPr>
                </pic:pic>
              </a:graphicData>
            </a:graphic>
          </wp:inline>
        </w:drawing>
      </w:r>
    </w:p>
    <w:p w14:paraId="228269C7" w14:textId="4FECF4D6" w:rsidR="007E4E9C" w:rsidRDefault="00FB742F" w:rsidP="007E4E9C">
      <w:r w:rsidRPr="00FB742F">
        <w:t>Convenção de Viena e Convenção Internacional de Prevenção ao Terrorismo</w:t>
      </w:r>
    </w:p>
    <w:p w14:paraId="499F7376" w14:textId="0C2B8B8D" w:rsidR="00FB742F" w:rsidRDefault="00FB742F" w:rsidP="00FB742F">
      <w:r>
        <w:t>CONVENÇÃO DE VIENA</w:t>
      </w:r>
    </w:p>
    <w:p w14:paraId="4E31BF53" w14:textId="7D955E69" w:rsidR="00FB742F" w:rsidRDefault="00FB742F" w:rsidP="00FB742F">
      <w:r>
        <w:t>A Convenção de Viena é uma reunião entre diversos países para abordar assuntos referentes a tratados internacionais, com o objetivo de criar normas capazes de harmonizar a elaboração, ratificação, denúncia e extinção dos tratados.</w:t>
      </w:r>
    </w:p>
    <w:p w14:paraId="563307F5" w14:textId="6653D934" w:rsidR="00FB742F" w:rsidRDefault="00FB742F" w:rsidP="00FB742F">
      <w:r>
        <w:t>Um Estado que faz parte da Convenção não pode invocar sua lei interna do país acima do tratado internacional, justificando algum descumprimento.</w:t>
      </w:r>
    </w:p>
    <w:p w14:paraId="6EF74F07" w14:textId="39C091DB" w:rsidR="00FB742F" w:rsidRDefault="00FB742F" w:rsidP="00FB742F">
      <w:r>
        <w:t xml:space="preserve">Qual a relação da Convenção de Viena com o Decreto 154/91? </w:t>
      </w:r>
    </w:p>
    <w:p w14:paraId="2BB9D211" w14:textId="2BA862F7" w:rsidR="00FB742F" w:rsidRDefault="00FB742F" w:rsidP="00FB742F">
      <w:r>
        <w:t>O Decreto 154/91 promulga a Convenção das Nações Unidas Contra o Tráfico Ilícito de Entorpecentes e Substâncias Psicotrópicas;</w:t>
      </w:r>
    </w:p>
    <w:p w14:paraId="68919F77" w14:textId="75E9607D" w:rsidR="00FB742F" w:rsidRDefault="00FB742F" w:rsidP="00FB742F">
      <w:r>
        <w:t>Essa convenção das Nações Unidas foi concluída e assinada em Viena em 1988 e promulgada aqui no Brasil em 1991;</w:t>
      </w:r>
    </w:p>
    <w:p w14:paraId="75C667FF" w14:textId="3D1B0077" w:rsidR="00FB742F" w:rsidRDefault="00FB742F" w:rsidP="00FB742F">
      <w:r>
        <w:t>O Tráfico Ilícito de Entorpecentes e outras substâncias podem ser utilizados como mecanismo de lavagem de dinheiro, pois o dinheiro obtido de forma ilícita é inserido na economia, ocorrendo os demais processos que configuram o delito.</w:t>
      </w:r>
    </w:p>
    <w:p w14:paraId="5F89EA49" w14:textId="4FEDB48A" w:rsidR="00FB742F" w:rsidRDefault="00FB742F" w:rsidP="00FB742F">
      <w:r>
        <w:t>CONVENÇÃO INTERNACIONAL PARA A SUPRESSÃO DO FINANCIAMENTO AO TERRORISMO (Dec. nº 5.640/05)</w:t>
      </w:r>
    </w:p>
    <w:p w14:paraId="48EDE383" w14:textId="77777777" w:rsidR="00FB742F" w:rsidRDefault="00FB742F" w:rsidP="00FB742F">
      <w:r>
        <w:t>O Decreto 5.640/05 promulga a Convenção Internacional para Supressão do Financiamento ao Terrorismo;</w:t>
      </w:r>
    </w:p>
    <w:p w14:paraId="693DEF21" w14:textId="77777777" w:rsidR="00FB742F" w:rsidRDefault="00FB742F" w:rsidP="00FB742F"/>
    <w:p w14:paraId="456AE80D" w14:textId="6D33EDC5" w:rsidR="00FB742F" w:rsidRDefault="00FB742F" w:rsidP="00FB742F">
      <w:r>
        <w:lastRenderedPageBreak/>
        <w:t>Essa Convenção faz parte de uma série de tratados internacionais que possuem o objetivo de combater o financiamento ao terrorismo no mundo inteiro;</w:t>
      </w:r>
    </w:p>
    <w:p w14:paraId="298C7845" w14:textId="2B3095E8" w:rsidR="00FB742F" w:rsidRDefault="00FB742F" w:rsidP="00FB742F">
      <w:r>
        <w:t>Tem o objetivo previnir, reprimir e eliminar o terrorismo em todas as suas formas e manifestações</w:t>
      </w:r>
    </w:p>
    <w:p w14:paraId="247C7D37" w14:textId="77777777" w:rsidR="00FB742F" w:rsidRDefault="00FB742F" w:rsidP="00FB742F">
      <w:r>
        <w:t>O Decreto determina que qualquer pessoa estará cometendo um delito, quando, por qualquer meio, direta ou indiretamente, ilegal e intencionalmente, prover ou receber fundos com a intenção de empregá-los, ou ciente de que os mesmos serão empregados em:</w:t>
      </w:r>
    </w:p>
    <w:p w14:paraId="4CD38C80" w14:textId="56DC6B8A" w:rsidR="00FB742F" w:rsidRDefault="00FB742F" w:rsidP="00FB742F">
      <w:r>
        <w:t>ato que seja enquadrado como delito em um dos tratados internacionais;</w:t>
      </w:r>
    </w:p>
    <w:p w14:paraId="2AA6D7AF" w14:textId="61166EB0" w:rsidR="00FB742F" w:rsidRDefault="00FB742F" w:rsidP="00FB742F">
      <w:r>
        <w:t>ato que com intenção de causar a morte ou lesões corporais graves a um civil, com propósito de intimidar uma população, um governo ou uma organização internacional a agir ou abster-se de agir.</w:t>
      </w:r>
    </w:p>
    <w:p w14:paraId="57AF4C1E" w14:textId="34A142CF" w:rsidR="00FB742F" w:rsidRDefault="00FB742F" w:rsidP="00FB742F">
      <w:r>
        <w:t>Qualquer pessoa estará também cometendo um delito se:</w:t>
      </w:r>
    </w:p>
    <w:p w14:paraId="7B080BBD" w14:textId="77777777" w:rsidR="00FB742F" w:rsidRDefault="00FB742F" w:rsidP="00FB742F">
      <w:r>
        <w:t>Participar como cúmplice;</w:t>
      </w:r>
    </w:p>
    <w:p w14:paraId="7EB740A0" w14:textId="77777777" w:rsidR="00FB742F" w:rsidRDefault="00FB742F" w:rsidP="00FB742F">
      <w:r>
        <w:t>Organizar ou orientar terceiros;</w:t>
      </w:r>
    </w:p>
    <w:p w14:paraId="57373AC7" w14:textId="77777777" w:rsidR="00FB742F" w:rsidRDefault="00FB742F" w:rsidP="00FB742F">
      <w:r>
        <w:t>Contribuir para a ocorrência do delito de alguma forma.</w:t>
      </w:r>
    </w:p>
    <w:p w14:paraId="5079A011" w14:textId="456335FD" w:rsidR="00FB742F" w:rsidRDefault="00FB742F" w:rsidP="00FB742F">
      <w:r>
        <w:t>Cada país adotará as medidas necessárias, dentro da sua jurisdição e de acordo com seus princípios internos, para regular a identificação, investigação, prevenção, sanções, extradições quando houver delitos relacionados ao terrorismo.</w:t>
      </w:r>
    </w:p>
    <w:p w14:paraId="0A1B10E4" w14:textId="79F39E99" w:rsidR="00FB742F" w:rsidRDefault="00FB742F" w:rsidP="00FB742F">
      <w:r>
        <w:rPr>
          <w:noProof/>
        </w:rPr>
        <w:drawing>
          <wp:inline distT="0" distB="0" distL="0" distR="0" wp14:anchorId="5EBF58E7" wp14:editId="4932838C">
            <wp:extent cx="5400040" cy="219075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190750"/>
                    </a:xfrm>
                    <a:prstGeom prst="rect">
                      <a:avLst/>
                    </a:prstGeom>
                    <a:noFill/>
                    <a:ln>
                      <a:noFill/>
                    </a:ln>
                  </pic:spPr>
                </pic:pic>
              </a:graphicData>
            </a:graphic>
          </wp:inline>
        </w:drawing>
      </w:r>
    </w:p>
    <w:p w14:paraId="12183A29" w14:textId="35417D97" w:rsidR="00FB742F" w:rsidRDefault="003007D7" w:rsidP="00FB742F">
      <w:r w:rsidRPr="003007D7">
        <w:t>GAFI - Grupo de Ação Financeira Contra a Lavagem de Dinheiro e Financiamento ao Terrorismo</w:t>
      </w:r>
    </w:p>
    <w:p w14:paraId="6D07A81C" w14:textId="71B5E03D" w:rsidR="003007D7" w:rsidRDefault="003007D7" w:rsidP="003007D7">
      <w:r>
        <w:t>É uma organização intergovernamental cujo propósito é desenvolver e promover políti­cas nacionais e internacionais de combate à lavagem de dinheiro e ao financiamento do terrorismo.</w:t>
      </w:r>
    </w:p>
    <w:p w14:paraId="15D75D63" w14:textId="69687394" w:rsidR="003007D7" w:rsidRDefault="003007D7" w:rsidP="003007D7">
      <w:r>
        <w:t>Periodicamente, o Gafi realiza avaliação dos países membros acerca da implementação de medidas de prevenção e combate à lavagem de dinheiro e ao financiamento do terrorismo.</w:t>
      </w:r>
    </w:p>
    <w:p w14:paraId="13A5A5AF" w14:textId="70CFDF49" w:rsidR="003007D7" w:rsidRDefault="003007D7" w:rsidP="003007D7">
      <w:r>
        <w:t>Criado em 1989, o Gafi é um organismo elaborador de políticas que atua visando a gerar a vontade política necessária para realizar reformas legislativas e regulatórias nessas áreas.</w:t>
      </w:r>
    </w:p>
    <w:p w14:paraId="11186EB9" w14:textId="7E5A7F3A" w:rsidR="003007D7" w:rsidRDefault="003007D7" w:rsidP="003007D7">
      <w:r>
        <w:lastRenderedPageBreak/>
        <w:t>Os padrões do Gafi foram revisados para aumentar as exigências em situações de alto risco e permitir que os países adotem posturas mais objetivas e focadas para esses riscos. A revisão busca alcançar o equilíbrio:</w:t>
      </w:r>
    </w:p>
    <w:p w14:paraId="7F347166" w14:textId="589F9D18" w:rsidR="003007D7" w:rsidRDefault="003007D7" w:rsidP="003007D7">
      <w:r>
        <w:t>As exigências foram especificamente fortalecidas nas áreas de maior risco ou naque­las em que a implementação pode ser melhorada. Foram expandidas para incluir novas ameaças, como o financiamento da proliferação de armas de destruição em massa, além de serem mais claras com relação à transparência e mais rígidas contra a corrupção.</w:t>
      </w:r>
    </w:p>
    <w:p w14:paraId="0E4B6E09" w14:textId="0307ADB5" w:rsidR="003007D7" w:rsidRDefault="003007D7" w:rsidP="003007D7">
      <w:r>
        <w:t>No entanto, são também mais dirigidas – há mais flexibilidade para medidas simples a serem aplicadas em áreas de baixo risco. A abordagem baseada em risco permitirá que as instituições financeiras e atividades e profissões não-financeiras designadas (APNFDs) apliquem seus recursos em áreas de maior risco.</w:t>
      </w:r>
    </w:p>
    <w:p w14:paraId="2C7BD742" w14:textId="6726D280" w:rsidR="003007D7" w:rsidRDefault="003007D7" w:rsidP="003007D7">
      <w:r>
        <w:t>No Brasil, o combate ao crime de lavagem de dinheiro é capitaneado pelo Conselho de Controle de Atividades Financeiras, o COAF.</w:t>
      </w:r>
    </w:p>
    <w:p w14:paraId="57665B41" w14:textId="1EA769F8" w:rsidR="003007D7" w:rsidRDefault="003007D7" w:rsidP="003007D7">
      <w:r>
        <w:rPr>
          <w:noProof/>
        </w:rPr>
        <w:drawing>
          <wp:inline distT="0" distB="0" distL="0" distR="0" wp14:anchorId="5FE1CC23" wp14:editId="226CC290">
            <wp:extent cx="5400040" cy="23622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2362200"/>
                    </a:xfrm>
                    <a:prstGeom prst="rect">
                      <a:avLst/>
                    </a:prstGeom>
                    <a:noFill/>
                    <a:ln>
                      <a:noFill/>
                    </a:ln>
                  </pic:spPr>
                </pic:pic>
              </a:graphicData>
            </a:graphic>
          </wp:inline>
        </w:drawing>
      </w:r>
    </w:p>
    <w:p w14:paraId="179919F3" w14:textId="2AF1257F" w:rsidR="003007D7" w:rsidRDefault="003007D7" w:rsidP="003007D7">
      <w:r w:rsidRPr="003007D7">
        <w:t>NOVO - Modelo de Abordagem Baseada em Riscos</w:t>
      </w:r>
    </w:p>
    <w:p w14:paraId="7F5F4888" w14:textId="63606DE1" w:rsidR="003007D7" w:rsidRDefault="003007D7" w:rsidP="003007D7">
      <w:r>
        <w:t>Afinal, o que é ABR?</w:t>
      </w:r>
    </w:p>
    <w:p w14:paraId="7B1B0901" w14:textId="039AC411" w:rsidR="003007D7" w:rsidRDefault="003007D7" w:rsidP="003007D7">
      <w:r>
        <w:t>A abordagem baseada em risco (ABR) é o eixo central das normas de Prevenção à Lavagem de Dinheiro e Financiamento ao Terrorismo, acompanhando as diretrizes mundiais.</w:t>
      </w:r>
    </w:p>
    <w:p w14:paraId="36279A1D" w14:textId="4F5B7B6C" w:rsidR="003007D7" w:rsidRDefault="003007D7" w:rsidP="003007D7">
      <w:r>
        <w:t>Qual o seu objetivo?</w:t>
      </w:r>
    </w:p>
    <w:p w14:paraId="22A20A4E" w14:textId="70718DD8" w:rsidR="003007D7" w:rsidRDefault="003007D7" w:rsidP="003007D7">
      <w:r>
        <w:t>A abordagem exige métricas e metodologias a serem adotadas com a premissa de dar maior conscientização e responsabilidade para a alta administração das Instituições.</w:t>
      </w:r>
    </w:p>
    <w:p w14:paraId="5A7B2C8D" w14:textId="349FC5BC" w:rsidR="003007D7" w:rsidRDefault="003007D7" w:rsidP="003007D7">
      <w:r>
        <w:t>As Instituições devem identificar, avaliar e compreender os riscos de Lavagem de Dinheiro e Financiamento ao Terrorismo (LD-FT), tomando medidas e aplicando recursos com o objetivo de mitigá-los de forma efetiva. Assim, essas Instituições devem aplicar um ABR de forma que as medidas de prevenção ou mitigação de LD-FT sejam proporcionais ou da mesma altura que os riscos identificados. Recurso essencial para o combate.</w:t>
      </w:r>
    </w:p>
    <w:p w14:paraId="5341EB4C" w14:textId="53105528" w:rsidR="003007D7" w:rsidRDefault="003007D7" w:rsidP="003007D7">
      <w:r>
        <w:t>ABR exige que as Instituições tenham sistemas e controles compatíveis com os riscos específicos de LD-FT. Assim, a avaliação desses riscos é um dos passos mais importantes para um bom programa de PLD-FT. Em uma situação em que os riscos de LD-FT aumentam, os controles e sistemas devem proporcionalmente se tornarem mais rigorosos se necessário.</w:t>
      </w:r>
    </w:p>
    <w:p w14:paraId="6CC17C59" w14:textId="119ECC83" w:rsidR="003007D7" w:rsidRDefault="003007D7" w:rsidP="003007D7">
      <w:r>
        <w:lastRenderedPageBreak/>
        <w:t>Para implementação da ABR, é necessário o envolvimento da área de PLD-FT, de negócios, gerenciamento de riscos, compliance, controles internos e a área jurídica.</w:t>
      </w:r>
    </w:p>
    <w:p w14:paraId="1BE19F9F" w14:textId="59DD15EB" w:rsidR="003007D7" w:rsidRDefault="003007D7" w:rsidP="003007D7">
      <w:r>
        <w:t>O risco é dinâmico e sempre deve ser reavaliado. Necessário assim que uma revisão aconteça em intervalos regulares ou se houver alteração na classificação do risco. A periodicidade da revisão do ABR será a critério de cada instituição.</w:t>
      </w:r>
    </w:p>
    <w:p w14:paraId="7CE4E132" w14:textId="5A17B08E" w:rsidR="003007D7" w:rsidRDefault="003007D7" w:rsidP="003007D7">
      <w:r>
        <w:t>A metodologia do ABR de cada instituição deve ser elaborada a partir de seus critérios, sendo a formalizada e passível a verificação, observando o porte, estrutura, natureza das atividades, complexidade de produtos/serviços, perfil dos clientes e seus valores incompatíveis com a fonte de renda declarada. Lembrando que devem respeitar as demais exigências dos reguladores e autorreguladores existentes no mercado.</w:t>
      </w:r>
    </w:p>
    <w:p w14:paraId="66292A46" w14:textId="734285E6" w:rsidR="003007D7" w:rsidRDefault="003007D7" w:rsidP="003007D7">
      <w:r>
        <w:t>Exemplos de ABRs:</w:t>
      </w:r>
    </w:p>
    <w:p w14:paraId="5D1717F9" w14:textId="45E8138B" w:rsidR="003007D7" w:rsidRDefault="003007D7" w:rsidP="003007D7">
      <w:r>
        <w:t>É essencial que a Política de PLD-FT (Prevenção à Lavagem de Dinheiro – Financiamento ao Terrorismo) busque identificar os riscos presentes e ofereça medidas proporcionais para mitigá-los. Como evitar criminosos de investir em, por exemplo: Fundos estruturados (FIPs, FIDCs e FIIs).</w:t>
      </w:r>
    </w:p>
    <w:p w14:paraId="3E3B9D28" w14:textId="04EE52B8" w:rsidR="003007D7" w:rsidRDefault="003007D7" w:rsidP="003007D7">
      <w:r>
        <w:rPr>
          <w:rFonts w:ascii="Segoe UI Symbol" w:hAnsi="Segoe UI Symbol" w:cs="Segoe UI Symbol"/>
        </w:rPr>
        <w:t>⯀</w:t>
      </w:r>
      <w:r>
        <w:t xml:space="preserve"> FIPs (Fundos de Investimento em Participações) - implementação de processos de monitoramento feitos pela instituição (ou empresa/escritório especializado contratado) para averiguar indícios de LD-FT na empresa a receber o investimento. Exemplos de cuidados: analisar a estrutura societária da empresa objeto, verificação de apontamentos em listas restritivas ou mídias negativas (sobre a empresa, sócios ou administradores). Também é interessante a análise da Contraparte (empresa objeto).</w:t>
      </w:r>
    </w:p>
    <w:p w14:paraId="3EBDD691" w14:textId="37E91C45" w:rsidR="003007D7" w:rsidRDefault="003007D7" w:rsidP="003007D7">
      <w:r>
        <w:rPr>
          <w:rFonts w:ascii="Segoe UI Symbol" w:hAnsi="Segoe UI Symbol" w:cs="Segoe UI Symbol"/>
        </w:rPr>
        <w:t>⯀</w:t>
      </w:r>
      <w:r>
        <w:t xml:space="preserve"> FIDCs (Fundos de Investimentos em Direitos Creditórios) - recomendável que as instituições adotem em sua ABR, políticas de PLD-FT, levando em consideração a relevância do risco e complexidade de cada FIDC. Observando cedentes e sacados, analisando representatividade financeira expressiva ou concentração em um mesmo cedente e/ou sacado, por exemplo.</w:t>
      </w:r>
    </w:p>
    <w:p w14:paraId="00384C16" w14:textId="0564494D" w:rsidR="003007D7" w:rsidRDefault="003007D7" w:rsidP="003007D7">
      <w:r>
        <w:rPr>
          <w:rFonts w:ascii="Segoe UI Symbol" w:hAnsi="Segoe UI Symbol" w:cs="Segoe UI Symbol"/>
        </w:rPr>
        <w:t>⯀</w:t>
      </w:r>
      <w:r>
        <w:t xml:space="preserve"> FII (Fundo de Investimento em Imóveis) - Seguir as metodologias de sua ABR, atendendo as políticas de PLD-FT. Conhecendo e identificando a Contraparte, como verificando a reputação e apontamentos em listas restritivas nacionais e internacionais da sociedade. Conferir também informações sobre o Ativo que pretenda adquirir, atentando para a presença de terceiros não regulados.</w:t>
      </w:r>
    </w:p>
    <w:p w14:paraId="735CCC69" w14:textId="7772043E" w:rsidR="003007D7" w:rsidRDefault="003007D7" w:rsidP="003007D7">
      <w:r>
        <w:rPr>
          <w:noProof/>
        </w:rPr>
        <w:drawing>
          <wp:inline distT="0" distB="0" distL="0" distR="0" wp14:anchorId="48475244" wp14:editId="0A6BBDC7">
            <wp:extent cx="5400040" cy="202882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2028825"/>
                    </a:xfrm>
                    <a:prstGeom prst="rect">
                      <a:avLst/>
                    </a:prstGeom>
                    <a:noFill/>
                    <a:ln>
                      <a:noFill/>
                    </a:ln>
                  </pic:spPr>
                </pic:pic>
              </a:graphicData>
            </a:graphic>
          </wp:inline>
        </w:drawing>
      </w:r>
    </w:p>
    <w:p w14:paraId="6C19A5D9" w14:textId="2EFC6241" w:rsidR="00BB7B21" w:rsidRDefault="00BB7B21" w:rsidP="003007D7"/>
    <w:p w14:paraId="23522B29" w14:textId="5D302E3C" w:rsidR="00BB7B21" w:rsidRDefault="00BB7B21" w:rsidP="003007D7">
      <w:r w:rsidRPr="00BB7B21">
        <w:lastRenderedPageBreak/>
        <w:t>NOVO - Avaliação Interna de Risco e Indicadores de Efetividade</w:t>
      </w:r>
    </w:p>
    <w:p w14:paraId="28E75194" w14:textId="7583478B" w:rsidR="00BB7B21" w:rsidRDefault="00BB7B21" w:rsidP="00BB7B21">
      <w:r>
        <w:t>AVALIAÇÃO INTERNA DE RISCO E INDICADORES DE EFETIVIDADE</w:t>
      </w:r>
    </w:p>
    <w:p w14:paraId="7C5EDAF8" w14:textId="3B382F81" w:rsidR="00BB7B21" w:rsidRDefault="00BB7B21" w:rsidP="00BB7B21">
      <w:r>
        <w:t>As Instituições devem realizar avaliação interna de risco tendo como objetivo identificar e mensurar riscos de utilização de seus produtos, serviços e novas tecnologias para a prática de lavagem de dinheiro e financiamento ao tráfico (LD-FT). Essa avaliação é necessária para avaliar a efetividade das políticas, regras e procedimentos das Instituições.</w:t>
      </w:r>
    </w:p>
    <w:p w14:paraId="42A7F964" w14:textId="4A79BC43" w:rsidR="00BB7B21" w:rsidRDefault="00BB7B21" w:rsidP="00BB7B21">
      <w:r>
        <w:t>Devem, também, no limite de suas atribuições, identificar, analisar, compreender e diligenciar para mitigar os riscos de LD-FT inerentes às atividades desempenhadas nos mercados financeiros e de capitais, sempre de forma proporcional aos riscos identificados.</w:t>
      </w:r>
    </w:p>
    <w:p w14:paraId="382C8574" w14:textId="23FA0AB6" w:rsidR="00BB7B21" w:rsidRDefault="00BB7B21" w:rsidP="00BB7B21">
      <w:r>
        <w:t>Esta avaliação deve ser feita pela área de PLD-FT da Instituição, controles internos, gerenciamento de riscos ou, ainda, área equivalente. A ANBIMA não recomenda auditoria interna ou externa de fazer o relatório. Fica apenas na posição de monitoramento.</w:t>
      </w:r>
    </w:p>
    <w:p w14:paraId="264628A9" w14:textId="1797573A" w:rsidR="00BB7B21" w:rsidRDefault="00BB7B21" w:rsidP="00BB7B21">
      <w:r>
        <w:t>Uma avaliação mal feita pode expor a Instituição a uma operação de LD-FT, expondo a um risco legal e de imagem. Não existe risco zero para clientes, produtos, serviços e canais de distribuição. A missão da ABR (abordagem baseada em risco) é modelar de forma adequada a classificação de risco.</w:t>
      </w:r>
    </w:p>
    <w:p w14:paraId="4E6E67F3" w14:textId="282E69A3" w:rsidR="00BB7B21" w:rsidRDefault="00BB7B21" w:rsidP="00BB7B21">
      <w:r>
        <w:t>Se liga só: até aqui falamos basicamente que quanto maior o risco, maior deve ser o controle a prevenção a lavagem de dinheiro, ok?</w:t>
      </w:r>
    </w:p>
    <w:p w14:paraId="3C361EA8" w14:textId="59DDAC78" w:rsidR="00BB7B21" w:rsidRDefault="00BB7B21" w:rsidP="00BB7B21">
      <w:r>
        <w:t>ANÁLISE DE EFETIVIDADE:</w:t>
      </w:r>
    </w:p>
    <w:p w14:paraId="38FBFEE4" w14:textId="0CF6245D" w:rsidR="00BB7B21" w:rsidRDefault="00BB7B21" w:rsidP="00BB7B21">
      <w:r>
        <w:t>A circular 3978/20 prevê que as instituições devem elaborar um relatório que avalie a efetividade do cumprimento da política, regras e procedimentos para a prevenção da LD-FT. A norma prevê a obrigatoriedade do documento, sendo aprovado pelo diretor da área de PLD-FT e encaminhado para o comitê de auditoria e, quando houver, conselho de administração ou diretoria.</w:t>
      </w:r>
    </w:p>
    <w:p w14:paraId="4108213A" w14:textId="726E4FBE" w:rsidR="00BB7B21" w:rsidRDefault="00BB7B21" w:rsidP="00BB7B21">
      <w:r>
        <w:t>Banco Central elencou informações mínimas necessárias para estar no documento da Análise de Efetividade:</w:t>
      </w:r>
    </w:p>
    <w:p w14:paraId="6FEF8057" w14:textId="77777777" w:rsidR="00BB7B21" w:rsidRDefault="00BB7B21" w:rsidP="00BB7B21">
      <w:r>
        <w:rPr>
          <w:rFonts w:ascii="Segoe UI Symbol" w:hAnsi="Segoe UI Symbol" w:cs="Segoe UI Symbol"/>
        </w:rPr>
        <w:t>⯀</w:t>
      </w:r>
      <w:r>
        <w:t xml:space="preserve"> Elaborado anualmente, com data-base de 31 de dezembro;</w:t>
      </w:r>
    </w:p>
    <w:p w14:paraId="4BFB268B" w14:textId="289EE2C4" w:rsidR="00BB7B21" w:rsidRDefault="00BB7B21" w:rsidP="00BB7B21">
      <w:r>
        <w:rPr>
          <w:rFonts w:ascii="Segoe UI Symbol" w:hAnsi="Segoe UI Symbol" w:cs="Segoe UI Symbol"/>
        </w:rPr>
        <w:t>⯀</w:t>
      </w:r>
      <w:r>
        <w:t xml:space="preserve"> Ser encaminhado até 31 de março do ano seguinte ao da data-base;</w:t>
      </w:r>
    </w:p>
    <w:p w14:paraId="623DE55D" w14:textId="2B6A507F" w:rsidR="00BB7B21" w:rsidRDefault="00BB7B21" w:rsidP="00BB7B21">
      <w:r>
        <w:rPr>
          <w:rFonts w:ascii="Segoe UI Symbol" w:hAnsi="Segoe UI Symbol" w:cs="Segoe UI Symbol"/>
        </w:rPr>
        <w:t>⯀</w:t>
      </w:r>
      <w:r>
        <w:t xml:space="preserve"> Encaminhado para comitê de auditoria, conselho de administração ou/e à direção da instituição;</w:t>
      </w:r>
    </w:p>
    <w:p w14:paraId="22B22080" w14:textId="31231F08" w:rsidR="00BB7B21" w:rsidRDefault="00BB7B21" w:rsidP="00BB7B21">
      <w:r>
        <w:rPr>
          <w:rFonts w:ascii="Segoe UI Symbol" w:hAnsi="Segoe UI Symbol" w:cs="Segoe UI Symbol"/>
        </w:rPr>
        <w:t>⯀</w:t>
      </w:r>
      <w:r>
        <w:t xml:space="preserve"> Informações mínimas na avaliação de efetividade:</w:t>
      </w:r>
    </w:p>
    <w:p w14:paraId="510FA0D6" w14:textId="689B83FB" w:rsidR="00BB7B21" w:rsidRDefault="00BB7B21" w:rsidP="00BB7B21">
      <w:r>
        <w:rPr>
          <w:rFonts w:ascii="Cambria Math" w:hAnsi="Cambria Math" w:cs="Cambria Math"/>
        </w:rPr>
        <w:t>◇</w:t>
      </w:r>
      <w:r>
        <w:t xml:space="preserve"> m</w:t>
      </w:r>
      <w:r>
        <w:rPr>
          <w:rFonts w:ascii="Calibri" w:hAnsi="Calibri" w:cs="Calibri"/>
        </w:rPr>
        <w:t>é</w:t>
      </w:r>
      <w:r>
        <w:t>todos adotados na avalia</w:t>
      </w:r>
      <w:r>
        <w:rPr>
          <w:rFonts w:ascii="Calibri" w:hAnsi="Calibri" w:cs="Calibri"/>
        </w:rPr>
        <w:t>çã</w:t>
      </w:r>
      <w:r>
        <w:t>o;</w:t>
      </w:r>
    </w:p>
    <w:p w14:paraId="346D5CC9" w14:textId="3F1A221D" w:rsidR="00BB7B21" w:rsidRDefault="00BB7B21" w:rsidP="00BB7B21">
      <w:r>
        <w:rPr>
          <w:rFonts w:ascii="Cambria Math" w:hAnsi="Cambria Math" w:cs="Cambria Math"/>
        </w:rPr>
        <w:t>◇</w:t>
      </w:r>
      <w:r>
        <w:t xml:space="preserve"> testes aplicados;</w:t>
      </w:r>
    </w:p>
    <w:p w14:paraId="61864A15" w14:textId="4622C631" w:rsidR="00BB7B21" w:rsidRDefault="00BB7B21" w:rsidP="00BB7B21">
      <w:r>
        <w:rPr>
          <w:rFonts w:ascii="Cambria Math" w:hAnsi="Cambria Math" w:cs="Cambria Math"/>
        </w:rPr>
        <w:t>◇</w:t>
      </w:r>
      <w:r>
        <w:t xml:space="preserve"> qualifica</w:t>
      </w:r>
      <w:r>
        <w:rPr>
          <w:rFonts w:ascii="Calibri" w:hAnsi="Calibri" w:cs="Calibri"/>
        </w:rPr>
        <w:t>çã</w:t>
      </w:r>
      <w:r>
        <w:t>o dos avaliadores;</w:t>
      </w:r>
    </w:p>
    <w:p w14:paraId="3C844E25" w14:textId="136288B2" w:rsidR="00BB7B21" w:rsidRDefault="00BB7B21" w:rsidP="00BB7B21">
      <w:r>
        <w:rPr>
          <w:rFonts w:ascii="Cambria Math" w:hAnsi="Cambria Math" w:cs="Cambria Math"/>
        </w:rPr>
        <w:t>◇</w:t>
      </w:r>
      <w:r>
        <w:t xml:space="preserve"> defici</w:t>
      </w:r>
      <w:r>
        <w:rPr>
          <w:rFonts w:ascii="Calibri" w:hAnsi="Calibri" w:cs="Calibri"/>
        </w:rPr>
        <w:t>ê</w:t>
      </w:r>
      <w:r>
        <w:t>ncias identificadas no processo;</w:t>
      </w:r>
    </w:p>
    <w:p w14:paraId="1071FCDD" w14:textId="6425A61D" w:rsidR="00BB7B21" w:rsidRDefault="00BB7B21" w:rsidP="00BB7B21">
      <w:r>
        <w:rPr>
          <w:rFonts w:ascii="Cambria Math" w:hAnsi="Cambria Math" w:cs="Cambria Math"/>
        </w:rPr>
        <w:t>◇</w:t>
      </w:r>
      <w:r>
        <w:t xml:space="preserve"> procedimentos de conhecer clientes, com valida</w:t>
      </w:r>
      <w:r>
        <w:rPr>
          <w:rFonts w:ascii="Calibri" w:hAnsi="Calibri" w:cs="Calibri"/>
        </w:rPr>
        <w:t>çã</w:t>
      </w:r>
      <w:r>
        <w:t>o de informa</w:t>
      </w:r>
      <w:r>
        <w:rPr>
          <w:rFonts w:ascii="Calibri" w:hAnsi="Calibri" w:cs="Calibri"/>
        </w:rPr>
        <w:t>çõ</w:t>
      </w:r>
      <w:r>
        <w:t>es;</w:t>
      </w:r>
    </w:p>
    <w:p w14:paraId="5E98F9E7" w14:textId="50A4FA5D" w:rsidR="00BB7B21" w:rsidRDefault="00BB7B21" w:rsidP="00BB7B21">
      <w:r>
        <w:rPr>
          <w:rFonts w:ascii="Cambria Math" w:hAnsi="Cambria Math" w:cs="Cambria Math"/>
        </w:rPr>
        <w:t>◇</w:t>
      </w:r>
      <w:r>
        <w:t xml:space="preserve"> procedimento de monitoramento e comunica</w:t>
      </w:r>
      <w:r>
        <w:rPr>
          <w:rFonts w:ascii="Calibri" w:hAnsi="Calibri" w:cs="Calibri"/>
        </w:rPr>
        <w:t>çã</w:t>
      </w:r>
      <w:r>
        <w:t>o ao Coaf;</w:t>
      </w:r>
    </w:p>
    <w:p w14:paraId="0824708F" w14:textId="5A3C26AF" w:rsidR="00BB7B21" w:rsidRDefault="00BB7B21" w:rsidP="00BB7B21">
      <w:r>
        <w:rPr>
          <w:rFonts w:ascii="Cambria Math" w:hAnsi="Cambria Math" w:cs="Cambria Math"/>
        </w:rPr>
        <w:lastRenderedPageBreak/>
        <w:t>◇</w:t>
      </w:r>
      <w:r>
        <w:t xml:space="preserve"> governan</w:t>
      </w:r>
      <w:r>
        <w:rPr>
          <w:rFonts w:ascii="Calibri" w:hAnsi="Calibri" w:cs="Calibri"/>
        </w:rPr>
        <w:t>ç</w:t>
      </w:r>
      <w:r>
        <w:t>a da pol</w:t>
      </w:r>
      <w:r>
        <w:rPr>
          <w:rFonts w:ascii="Calibri" w:hAnsi="Calibri" w:cs="Calibri"/>
        </w:rPr>
        <w:t>í</w:t>
      </w:r>
      <w:r>
        <w:t>tica PL-FT;</w:t>
      </w:r>
    </w:p>
    <w:p w14:paraId="6555B601" w14:textId="79643F4A" w:rsidR="00BB7B21" w:rsidRDefault="00BB7B21" w:rsidP="00BB7B21">
      <w:r>
        <w:rPr>
          <w:rFonts w:ascii="Cambria Math" w:hAnsi="Cambria Math" w:cs="Cambria Math"/>
        </w:rPr>
        <w:t>◇</w:t>
      </w:r>
      <w:r>
        <w:t xml:space="preserve"> medidas de desenvolvimento da cultura organizacional PL-FT;</w:t>
      </w:r>
    </w:p>
    <w:p w14:paraId="035CCA2E" w14:textId="7656C22D" w:rsidR="00BB7B21" w:rsidRDefault="00BB7B21" w:rsidP="00BB7B21">
      <w:r>
        <w:rPr>
          <w:rFonts w:ascii="Cambria Math" w:hAnsi="Cambria Math" w:cs="Cambria Math"/>
        </w:rPr>
        <w:t>◇</w:t>
      </w:r>
      <w:r>
        <w:t xml:space="preserve"> programas de capacita</w:t>
      </w:r>
      <w:r>
        <w:rPr>
          <w:rFonts w:ascii="Calibri" w:hAnsi="Calibri" w:cs="Calibri"/>
        </w:rPr>
        <w:t>çã</w:t>
      </w:r>
      <w:r>
        <w:t>o peri</w:t>
      </w:r>
      <w:r>
        <w:rPr>
          <w:rFonts w:ascii="Calibri" w:hAnsi="Calibri" w:cs="Calibri"/>
        </w:rPr>
        <w:t>ó</w:t>
      </w:r>
      <w:r>
        <w:t>dica do pessoal envolvido no processo;</w:t>
      </w:r>
    </w:p>
    <w:p w14:paraId="359F0B06" w14:textId="6A5FC007" w:rsidR="00BB7B21" w:rsidRDefault="00BB7B21" w:rsidP="00BB7B21">
      <w:r>
        <w:rPr>
          <w:rFonts w:ascii="Cambria Math" w:hAnsi="Cambria Math" w:cs="Cambria Math"/>
        </w:rPr>
        <w:t>◇</w:t>
      </w:r>
      <w:r>
        <w:t xml:space="preserve"> procedimentos para conhecer funcion</w:t>
      </w:r>
      <w:r>
        <w:rPr>
          <w:rFonts w:ascii="Calibri" w:hAnsi="Calibri" w:cs="Calibri"/>
        </w:rPr>
        <w:t>á</w:t>
      </w:r>
      <w:r>
        <w:t>rios, parceiros e terceirizados; e</w:t>
      </w:r>
    </w:p>
    <w:p w14:paraId="314C0E5B" w14:textId="49E17C06" w:rsidR="00BB7B21" w:rsidRDefault="00BB7B21" w:rsidP="00BB7B21">
      <w:r>
        <w:rPr>
          <w:rFonts w:ascii="Cambria Math" w:hAnsi="Cambria Math" w:cs="Cambria Math"/>
        </w:rPr>
        <w:t>◇</w:t>
      </w:r>
      <w:r>
        <w:t xml:space="preserve"> a</w:t>
      </w:r>
      <w:r>
        <w:rPr>
          <w:rFonts w:ascii="Calibri" w:hAnsi="Calibri" w:cs="Calibri"/>
        </w:rPr>
        <w:t>çõ</w:t>
      </w:r>
      <w:r>
        <w:t>es de regulariza</w:t>
      </w:r>
      <w:r>
        <w:rPr>
          <w:rFonts w:ascii="Calibri" w:hAnsi="Calibri" w:cs="Calibri"/>
        </w:rPr>
        <w:t>çã</w:t>
      </w:r>
      <w:r>
        <w:t>o a partir dos apontamentos da auditoria interna e supervis</w:t>
      </w:r>
      <w:r>
        <w:rPr>
          <w:rFonts w:ascii="Calibri" w:hAnsi="Calibri" w:cs="Calibri"/>
        </w:rPr>
        <w:t>ã</w:t>
      </w:r>
      <w:r>
        <w:t>o do BACEN.</w:t>
      </w:r>
    </w:p>
    <w:p w14:paraId="2C3B3625" w14:textId="15DCFF55" w:rsidR="00BB7B21" w:rsidRDefault="00BB7B21" w:rsidP="00BB7B21">
      <w:r>
        <w:t>Os indicadores de efetividade permitem estabelecer estatísticas capazes de comprovar a efetividade do processo de mitigar os riscos de LD-FT.</w:t>
      </w:r>
    </w:p>
    <w:p w14:paraId="67143358" w14:textId="2875CA60" w:rsidR="00BB7B21" w:rsidRDefault="00BB7B21" w:rsidP="00BB7B21">
      <w:r>
        <w:t>A classificação de risco dos clientes deve seguir a avaliação interna de risco da Instituição, detalhada em sua Abordagem Baseada em Risco. Deve considerar o perfil de risco LD-FT do cliente, a natureza da relação do negócio e as operações solicitadas. Esta classificação deve acompanhar a evolução do relacionamento com os clientes, conforme os critérios e metodologias da Política de PLD-FT da Instituição.</w:t>
      </w:r>
    </w:p>
    <w:p w14:paraId="38E70AF0" w14:textId="207E4DA7" w:rsidR="00BB7B21" w:rsidRDefault="00BB7B21" w:rsidP="00BB7B21">
      <w:r>
        <w:t>Sobre a classificação de risco dos clientes, recomenda-se que as instituições observam seguintes fatores:</w:t>
      </w:r>
    </w:p>
    <w:p w14:paraId="6F5C7370" w14:textId="1A21DF40" w:rsidR="00BB7B21" w:rsidRDefault="00BB7B21" w:rsidP="00BB7B21">
      <w:r>
        <w:rPr>
          <w:rFonts w:ascii="Segoe UI Symbol" w:hAnsi="Segoe UI Symbol" w:cs="Segoe UI Symbol"/>
        </w:rPr>
        <w:t>⯀</w:t>
      </w:r>
      <w:r>
        <w:t xml:space="preserve"> Relacionamento comercial com PEP, organizações sem fins lucrativos, clientes ou terceiros de países de risco alto (de acordo com a classificação GAFI - Grupo de ação financeira internacional).</w:t>
      </w:r>
    </w:p>
    <w:p w14:paraId="5D0E7C82" w14:textId="12E2995A" w:rsidR="00BB7B21" w:rsidRDefault="00BB7B21" w:rsidP="00BB7B21">
      <w:r>
        <w:rPr>
          <w:rFonts w:ascii="Segoe UI Symbol" w:hAnsi="Segoe UI Symbol" w:cs="Segoe UI Symbol"/>
        </w:rPr>
        <w:t>⯀</w:t>
      </w:r>
      <w:r>
        <w:t xml:space="preserve"> Instituições financeiras que operam com produtos offshore;</w:t>
      </w:r>
    </w:p>
    <w:p w14:paraId="07D640AC" w14:textId="73049C06" w:rsidR="00BB7B21" w:rsidRDefault="00BB7B21" w:rsidP="00BB7B21">
      <w:r>
        <w:rPr>
          <w:rFonts w:ascii="Segoe UI Symbol" w:hAnsi="Segoe UI Symbol" w:cs="Segoe UI Symbol"/>
        </w:rPr>
        <w:t>⯀</w:t>
      </w:r>
      <w:r>
        <w:t xml:space="preserve"> Clientes que atuem em negócios classificados de alto risco na metodologia de ADR da instituição;</w:t>
      </w:r>
    </w:p>
    <w:p w14:paraId="41944FCF" w14:textId="0E086483" w:rsidR="00BB7B21" w:rsidRDefault="00BB7B21" w:rsidP="00BB7B21">
      <w:r>
        <w:rPr>
          <w:rFonts w:ascii="Segoe UI Symbol" w:hAnsi="Segoe UI Symbol" w:cs="Segoe UI Symbol"/>
        </w:rPr>
        <w:t>⯀</w:t>
      </w:r>
      <w:r>
        <w:t xml:space="preserve"> Transações atípicas ou com valores incompatíveis com a fonte de renda do Cliente;</w:t>
      </w:r>
    </w:p>
    <w:p w14:paraId="68818AF3" w14:textId="71EC370A" w:rsidR="00BB7B21" w:rsidRDefault="00BB7B21" w:rsidP="00BB7B21">
      <w:r>
        <w:rPr>
          <w:rFonts w:ascii="Segoe UI Symbol" w:hAnsi="Segoe UI Symbol" w:cs="Segoe UI Symbol"/>
        </w:rPr>
        <w:t>⯀</w:t>
      </w:r>
      <w:r>
        <w:t xml:space="preserve"> Consultas de autoridades governamentais, como intimações relativas a ilícitos de LD-FT.</w:t>
      </w:r>
    </w:p>
    <w:p w14:paraId="7854DD21" w14:textId="47F73655" w:rsidR="00BB7B21" w:rsidRDefault="00BB7B21" w:rsidP="00BB7B21">
      <w:r>
        <w:t>A título de exemplo, se, com base na ABR da Instituição, for necessário o contato com um Cliente ativo para obter ou atualizar informações ou dirimir divergências, a impossibilidade de contato ou ausência de resposta podem ser consideradas pela Instituição na classificação de risco do Cliente ou para justificar, por exemplo, a decisão de encerrar ou não o relacionamento comercial.</w:t>
      </w:r>
    </w:p>
    <w:p w14:paraId="1D3330DD" w14:textId="2DD10D47" w:rsidR="00BB7B21" w:rsidRDefault="00BB7B21" w:rsidP="00BB7B21">
      <w:r>
        <w:t>Assim, para análise e elementos de classificação, as listas de atividades terroristas e sanções públicas pelos governos e pelas organizações internacionais são um bom ponto de partida para observar a relação ao risco de LD-FT.</w:t>
      </w:r>
    </w:p>
    <w:p w14:paraId="47D0BC35" w14:textId="77777777" w:rsidR="00BB7B21" w:rsidRDefault="00BB7B21" w:rsidP="00BB7B21">
      <w:r>
        <w:t>Algumas listas são essenciais para cumprimento das normas da CVM e do BC, como as listas de PEPs, lista do Conselho das Nações Unidas, lista do GAFI e a lista que integra a norma da Receita Federal, contendo os países, jurisdições ou locais com tributação favorecida e com regimes fiscais privilegiados.</w:t>
      </w:r>
    </w:p>
    <w:p w14:paraId="7D177F88" w14:textId="5AE6156C" w:rsidR="00BB7B21" w:rsidRDefault="00BB7B21" w:rsidP="00BB7B21">
      <w:r>
        <w:t>BENEFICIÁRIOS FINAIS</w:t>
      </w:r>
    </w:p>
    <w:p w14:paraId="0611C9E9" w14:textId="13C4FA88" w:rsidR="00BB7B21" w:rsidRDefault="00BB7B21" w:rsidP="00BB7B21">
      <w:r>
        <w:lastRenderedPageBreak/>
        <w:t>As instituições devem adotar medidas para localizar os Beneficiários Finais, que são pessoas naturais que possuem, controlam ou influenciam certas entidades ou outras pessoas naturais com o intuito de conduzir transações no mercado em seus nomes.</w:t>
      </w:r>
    </w:p>
    <w:p w14:paraId="6A5E6039" w14:textId="77EE8082" w:rsidR="00BB7B21" w:rsidRDefault="00BB7B21" w:rsidP="00BB7B21">
      <w:r>
        <w:t>A dificuldade ou não conhecimento do Beneficiário Final deverá sempre estar pautado como evidência, mas apenas essa informação não caracteriza como uma ação a ser comunicada ao COAF, por isso a Instituição deve atentar a medidas suplementares requeridas pela ICVM 617/19 e Circular BC 3978/20.</w:t>
      </w:r>
    </w:p>
    <w:p w14:paraId="732DD8B2" w14:textId="44E74929" w:rsidR="00BB7B21" w:rsidRDefault="00BB7B21" w:rsidP="00BB7B21">
      <w:r>
        <w:t>Sobre Beneficiário Final em Fundos de Investimento, apenas os Fundos Exclusivos ou Fundos com gestão irrestrita precisam localizar seus cotistas/beneficiários finais. Os demais estão dispensados de identificar, devendo cada Instituição estabelecer como irá proceder sua política PLD-FT, avaliação interna de risco e metodologia de ABR.</w:t>
      </w:r>
    </w:p>
    <w:p w14:paraId="40DF211F" w14:textId="77777777" w:rsidR="00BB7B21" w:rsidRDefault="00BB7B21" w:rsidP="00BB7B21">
      <w:r>
        <w:t>IDENTIFICAÇÃO COLABORADORES, PARCEIROS, TERCEIRIZADOS E PRESTADORES DE SERVIÇOS RELEVANTES</w:t>
      </w:r>
    </w:p>
    <w:p w14:paraId="51249684" w14:textId="77777777" w:rsidR="00BB7B21" w:rsidRDefault="00BB7B21" w:rsidP="00BB7B21">
      <w:r>
        <w:t>Necessário a identificação e verificação, proporcional a posição que ocupam. Informações como histórico de atividade profissionais e outras informações, de acordo com a ABR da instituição.</w:t>
      </w:r>
    </w:p>
    <w:p w14:paraId="70F8F9B1" w14:textId="77777777" w:rsidR="00BB7B21" w:rsidRDefault="00BB7B21" w:rsidP="00BB7B21">
      <w:r>
        <w:t>Observando os riscos de LD-FT, se existe algum relacionamento comercial com alguém do governo ou órgãos públicos, é não regulado (como consultores imobiliários) ou solicita métodos de pagamentos incomuns (como pagamento em dinheiro, outras instituições não envolvidas ou pagamentos para fora do país).</w:t>
      </w:r>
    </w:p>
    <w:p w14:paraId="57A68F7C" w14:textId="1E087117" w:rsidR="00BB7B21" w:rsidRDefault="00BB7B21" w:rsidP="00BB7B21">
      <w:r>
        <w:t>As instituições devem se atentar ao comportamento dos colaboradores, devendo relatar qualquer atividade atípica. Caso alguma situação seja identificada, precisará ser investigada e se comprovada situação adversa, comunicar ao regulador competente.</w:t>
      </w:r>
    </w:p>
    <w:p w14:paraId="2BDB78F7" w14:textId="77777777" w:rsidR="00BB7B21" w:rsidRDefault="00BB7B21" w:rsidP="00BB7B21">
      <w:r>
        <w:t>DILIGÊNCIAS DAS INSTITUIÇÕES</w:t>
      </w:r>
    </w:p>
    <w:p w14:paraId="5FD8FB7C" w14:textId="4F662E3B" w:rsidR="00BB7B21" w:rsidRDefault="00BB7B21" w:rsidP="00BB7B21">
      <w:r>
        <w:t>Preocupados com o custo de observância para impedir LD-FT, os reguladores e autorreguladores alinharam que a identificação de clientes e seus beneficiários finais seja feita quando houver relacionamento comercial direto entre cliente e instituição.</w:t>
      </w:r>
    </w:p>
    <w:p w14:paraId="59AAC757" w14:textId="468DF7BF" w:rsidR="00BB7B21" w:rsidRDefault="00BB7B21" w:rsidP="00BB7B21">
      <w:r>
        <w:t>Como cita o guia, o Distribuidor responsável pela distribuição do ativo financeiro possui relacionamento comercial direto com o Cliente.</w:t>
      </w:r>
    </w:p>
    <w:p w14:paraId="41804E58" w14:textId="72E1412B" w:rsidR="00BB7B21" w:rsidRDefault="00BB7B21" w:rsidP="00BB7B21">
      <w:r>
        <w:t>Essas informações devem ser obtidas por meio das declarações do cliente, de forma não declaratória, seja por dados públicos ou privados ou de outro meio válido.</w:t>
      </w:r>
    </w:p>
    <w:p w14:paraId="28CEEAF2" w14:textId="7695FB94" w:rsidR="00BB7B21" w:rsidRDefault="00BB7B21" w:rsidP="00BB7B21">
      <w:r>
        <w:t>Se a conquista das informações forem mal sucedidas, isso não impede o vínculo entre a Instituição e o Cliente, mas a mesma deverá prever os riscos que possa estar exposta de acordo com suas políticas PLD-FT e metodologia ABR.</w:t>
      </w:r>
    </w:p>
    <w:p w14:paraId="24C4379F" w14:textId="416FBC42" w:rsidR="00BB7B21" w:rsidRDefault="00BB7B21" w:rsidP="00BB7B21">
      <w:r>
        <w:t>Resumidamente, quem tiver contato direto com o cliente, por exemplo em Fundos de Investimento, será o Distribuidor. Já em Fundos Exclusivos, o Gestor de Recursos, será o responsável pela obtenção de dados do cliente, conforme as exigências de cada Instituição.</w:t>
      </w:r>
    </w:p>
    <w:p w14:paraId="2A22CC66" w14:textId="761FEA63" w:rsidR="00BB7B21" w:rsidRDefault="00BB7B21" w:rsidP="00BB7B21">
      <w:r>
        <w:t>CUSTODIANTE:</w:t>
      </w:r>
    </w:p>
    <w:p w14:paraId="18D2465A" w14:textId="1A241AAC" w:rsidR="00BB7B21" w:rsidRDefault="00BB7B21" w:rsidP="00BB7B21">
      <w:r>
        <w:lastRenderedPageBreak/>
        <w:t>Este tem acesso a informações sobre operações da carteira do fundo, logo deverá realizar as atividades de monitoramento, análise e comunicação. Atendendo a ICVM 617/19. Mesmo não tendo relacionamento comercial direto com o cliente.</w:t>
      </w:r>
    </w:p>
    <w:p w14:paraId="4E40EFD7" w14:textId="00F6E10B" w:rsidR="00BB7B21" w:rsidRDefault="00BB7B21" w:rsidP="00BB7B21">
      <w:r>
        <w:t>Mas em situações que tenha este relacionamento comercial direto com o cliente, em casos de Custódia de Carteira Administrada, deverá observar integralmente a norma exigida.</w:t>
      </w:r>
    </w:p>
    <w:p w14:paraId="60C0C457" w14:textId="766AA8F9" w:rsidR="00BB7B21" w:rsidRDefault="00BB7B21" w:rsidP="00BB7B21">
      <w:r>
        <w:t>MONITORAMENTO E ANÁLISE DE OPERAÇÕES OU SITUAÇÕES ATÍPICAS</w:t>
      </w:r>
    </w:p>
    <w:p w14:paraId="4F8FFEB9" w14:textId="3FD556AB" w:rsidR="00BB7B21" w:rsidRDefault="00BB7B21" w:rsidP="00BB7B21">
      <w:r>
        <w:t>Clientes devem ser monitorados, em busca de observar coisas atípicas que podem configurar indícios de LD-FT.</w:t>
      </w:r>
    </w:p>
    <w:p w14:paraId="4851E619" w14:textId="74E143E7" w:rsidR="00BB7B21" w:rsidRDefault="00BB7B21" w:rsidP="00BB7B21">
      <w:r>
        <w:t>É de responsabilidade dos colaboradores com relacionamento comercial com seus clientes tenham essa atenção, de modo a garantir a eficácia da política PLD-FT da instituição.</w:t>
      </w:r>
    </w:p>
    <w:p w14:paraId="414D2D1D" w14:textId="3A0DD5F1" w:rsidR="00BB7B21" w:rsidRDefault="00BB7B21" w:rsidP="00BB7B21">
      <w:r>
        <w:t>Recomenda-se que as questões relevantes decorrentes do monitoramento feito após a realização da operação sejam investigadas e, se apropriado, comunicadas à área responsável para que se decida se é necessário comunicar o regulador competente.</w:t>
      </w:r>
    </w:p>
    <w:p w14:paraId="4D72D7C2" w14:textId="5684A72A" w:rsidR="00BB7B21" w:rsidRDefault="00BB7B21" w:rsidP="00BB7B21">
      <w:r>
        <w:t>A conclusão de alertas oriundos do monitoramento deve ser feita em até 45 dias.</w:t>
      </w:r>
    </w:p>
    <w:p w14:paraId="33A33BB4" w14:textId="647E25FF" w:rsidR="00BB7B21" w:rsidRDefault="00BB7B21" w:rsidP="00BB7B21">
      <w:r>
        <w:t>Exemplos de comportamentos atípicos dos Clientes:</w:t>
      </w:r>
    </w:p>
    <w:p w14:paraId="70C64F13" w14:textId="0F986598" w:rsidR="00BB7B21" w:rsidRDefault="00BB7B21" w:rsidP="00BB7B21">
      <w:r>
        <w:rPr>
          <w:rFonts w:ascii="Segoe UI Symbol" w:hAnsi="Segoe UI Symbol" w:cs="Segoe UI Symbol"/>
        </w:rPr>
        <w:t>⯀</w:t>
      </w:r>
      <w:r>
        <w:t xml:space="preserve"> Agente público abrir conta para familiar;</w:t>
      </w:r>
    </w:p>
    <w:p w14:paraId="2C4119E3" w14:textId="7A2F9C9E" w:rsidR="00BB7B21" w:rsidRDefault="00BB7B21" w:rsidP="00BB7B21">
      <w:r>
        <w:rPr>
          <w:rFonts w:ascii="Segoe UI Symbol" w:hAnsi="Segoe UI Symbol" w:cs="Segoe UI Symbol"/>
        </w:rPr>
        <w:t>⯀</w:t>
      </w:r>
      <w:r>
        <w:t xml:space="preserve"> Ameaça o colaborador como forma de persuadir o registro de informações para a PLD-FT;</w:t>
      </w:r>
    </w:p>
    <w:p w14:paraId="65CA3E54" w14:textId="0B453C86" w:rsidR="00BB7B21" w:rsidRDefault="00BB7B21" w:rsidP="00BB7B21">
      <w:r>
        <w:rPr>
          <w:rFonts w:ascii="Segoe UI Symbol" w:hAnsi="Segoe UI Symbol" w:cs="Segoe UI Symbol"/>
        </w:rPr>
        <w:t>⯀</w:t>
      </w:r>
      <w:r>
        <w:t xml:space="preserve"> Cliente não deseja continuar uma operação, após descobrir que é necessário ser relatada;</w:t>
      </w:r>
    </w:p>
    <w:p w14:paraId="3993FB32" w14:textId="367395C3" w:rsidR="00BB7B21" w:rsidRDefault="00BB7B21" w:rsidP="00BB7B21">
      <w:r>
        <w:rPr>
          <w:rFonts w:ascii="Segoe UI Symbol" w:hAnsi="Segoe UI Symbol" w:cs="Segoe UI Symbol"/>
        </w:rPr>
        <w:t>⯀</w:t>
      </w:r>
      <w:r>
        <w:t xml:space="preserve"> Oferece dinheiro para comprar o silêncio de um Colaborador;</w:t>
      </w:r>
    </w:p>
    <w:p w14:paraId="2DC42848" w14:textId="462938C4" w:rsidR="00BB7B21" w:rsidRDefault="00BB7B21" w:rsidP="00BB7B21">
      <w:r>
        <w:rPr>
          <w:rFonts w:ascii="Segoe UI Symbol" w:hAnsi="Segoe UI Symbol" w:cs="Segoe UI Symbol"/>
        </w:rPr>
        <w:t>⯀</w:t>
      </w:r>
      <w:r>
        <w:t xml:space="preserve"> A recusa de uma rentabilidade maior, visto pela disponibilidade de um alto valor;</w:t>
      </w:r>
    </w:p>
    <w:p w14:paraId="0D1F2BF8" w14:textId="25945262" w:rsidR="00BB7B21" w:rsidRDefault="00BB7B21" w:rsidP="00BB7B21">
      <w:r>
        <w:rPr>
          <w:rFonts w:ascii="Segoe UI Symbol" w:hAnsi="Segoe UI Symbol" w:cs="Segoe UI Symbol"/>
        </w:rPr>
        <w:t>⯀</w:t>
      </w:r>
      <w:r>
        <w:t xml:space="preserve"> Incompatibilidade das transações com a situação patrimonial, volume, frequência e/ou modalidade.</w:t>
      </w:r>
    </w:p>
    <w:p w14:paraId="47710848" w14:textId="793FF484" w:rsidR="00BB7B21" w:rsidRDefault="00BB7B21" w:rsidP="00BB7B21">
      <w:r>
        <w:rPr>
          <w:rFonts w:ascii="Segoe UI Symbol" w:hAnsi="Segoe UI Symbol" w:cs="Segoe UI Symbol"/>
        </w:rPr>
        <w:t>⯀</w:t>
      </w:r>
      <w:r>
        <w:t xml:space="preserve"> Transações em espécie.</w:t>
      </w:r>
    </w:p>
    <w:p w14:paraId="77468B72" w14:textId="5A5E9326" w:rsidR="00BB7B21" w:rsidRDefault="00BB7B21" w:rsidP="00BB7B21">
      <w:r>
        <w:t>A comunicação de operações ou situações atípicas devem ser feitas dentro do prazo de 24 horas da conclusão para a COAF, informando a análise, transações ou propostas de transações que possam constituir sérios indícios de crime de lavagem de dinheiro ou ocultação de bens, direitos ou valores provenientes direta ou indiretamente de infração penal.</w:t>
      </w:r>
    </w:p>
    <w:p w14:paraId="1C6AA923" w14:textId="58E5292A" w:rsidR="00BB7B21" w:rsidRDefault="00BB7B21" w:rsidP="00BB7B21">
      <w:r>
        <w:t>Lembrando que todas as comunicações realizadas têm caráter confidencial e devem ser restritas aos Colaboradores envolvidos no processo de análise. Todos os registros que fundamentem a comunicação ou a decisão pela sua não realização deverão ser arquivados pelo prazo de 5 (cinco) anos.</w:t>
      </w:r>
    </w:p>
    <w:p w14:paraId="57660083" w14:textId="77777777" w:rsidR="00644D79" w:rsidRDefault="00644D79" w:rsidP="00BB7B21">
      <w:pPr>
        <w:rPr>
          <w:noProof/>
        </w:rPr>
      </w:pPr>
    </w:p>
    <w:p w14:paraId="143C0FB7" w14:textId="5F338AF0" w:rsidR="00644D79" w:rsidRDefault="00BB7B21" w:rsidP="00BB7B21">
      <w:r>
        <w:rPr>
          <w:noProof/>
        </w:rPr>
        <w:lastRenderedPageBreak/>
        <w:drawing>
          <wp:inline distT="0" distB="0" distL="0" distR="0" wp14:anchorId="40611F1D" wp14:editId="72F70549">
            <wp:extent cx="5400040" cy="3980815"/>
            <wp:effectExtent l="0" t="0" r="0" b="63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3980815"/>
                    </a:xfrm>
                    <a:prstGeom prst="rect">
                      <a:avLst/>
                    </a:prstGeom>
                    <a:noFill/>
                    <a:ln>
                      <a:noFill/>
                    </a:ln>
                  </pic:spPr>
                </pic:pic>
              </a:graphicData>
            </a:graphic>
          </wp:inline>
        </w:drawing>
      </w:r>
    </w:p>
    <w:p w14:paraId="24254AAD" w14:textId="7F2E8DEF" w:rsidR="00BB7B21" w:rsidRDefault="00644D79" w:rsidP="00BB7B21">
      <w:r w:rsidRPr="00644D79">
        <w:t>NOVO - Resumo dos Conteúdos da Abordagem Baseada em Risco</w:t>
      </w:r>
    </w:p>
    <w:p w14:paraId="00DFDB44" w14:textId="2A160136" w:rsidR="00644D79" w:rsidRDefault="00644D79" w:rsidP="00644D79">
      <w:r>
        <w:t>Aqui vai um resumo dos 3 passos novos para a PLD-FT que aprendemos:</w:t>
      </w:r>
    </w:p>
    <w:p w14:paraId="332CCC2F" w14:textId="27B6C7A6" w:rsidR="00644D79" w:rsidRDefault="00644D79" w:rsidP="00644D79">
      <w:r>
        <w:t xml:space="preserve">    1)     ABORDAGEM BASEADA EM RISCO:</w:t>
      </w:r>
    </w:p>
    <w:p w14:paraId="5A0B529D" w14:textId="339CF6DA" w:rsidR="00644D79" w:rsidRDefault="00644D79" w:rsidP="00644D79">
      <w:r>
        <w:t>Antes de mais nada, vamos relembrar que tudo o que vimos até agora se baseia na premissa de que: quanto maior o risco, maior terá que ser a prevenção a lavagem de dinheiro e financiamento ao terrorismo da Instituição, ok?</w:t>
      </w:r>
    </w:p>
    <w:p w14:paraId="1C93A836" w14:textId="126E7C23" w:rsidR="00644D79" w:rsidRDefault="00644D79" w:rsidP="00644D79">
      <w:r>
        <w:t>Dessa forma, em primeiro momento, os participantes e Instituições devem classificar:</w:t>
      </w:r>
    </w:p>
    <w:p w14:paraId="52EACF10" w14:textId="16316D86" w:rsidR="00644D79" w:rsidRDefault="00644D79" w:rsidP="00644D79">
      <w:r>
        <w:t xml:space="preserve">     a)     Seus clientes: quem são os clientes de maior risco?</w:t>
      </w:r>
    </w:p>
    <w:p w14:paraId="1989BEB9" w14:textId="77947AA1" w:rsidR="00644D79" w:rsidRDefault="00644D79" w:rsidP="00644D79">
      <w:r>
        <w:t xml:space="preserve">     b)     Seus produtos: quais são os produtos com maior incidência de Lavagem de Dinheiro?</w:t>
      </w:r>
    </w:p>
    <w:p w14:paraId="792DB689" w14:textId="01436B0D" w:rsidR="00644D79" w:rsidRDefault="00644D79" w:rsidP="00644D79">
      <w:r>
        <w:t xml:space="preserve">     c)     Serviços prestados e respectivos canais de distribuição: Quais os serviços com maior risco de ocorrer Lavagem de Dinheiro?</w:t>
      </w:r>
    </w:p>
    <w:p w14:paraId="1F080F11" w14:textId="4594C69E" w:rsidR="00644D79" w:rsidRDefault="00644D79" w:rsidP="00644D79">
      <w:r>
        <w:t>A ABR exige que as Instituições tenham sistemas e controles compatíveis com os riscos específicos de LD-FT. Assim, em uma situação em que os riscos de LD-FT aumentam, os controles e sistemas devem proporcionalmente se tornarem mais rigorosos se necessário, devendo ser observados parâmetros como:</w:t>
      </w:r>
    </w:p>
    <w:p w14:paraId="38A671D8" w14:textId="080BBE6B" w:rsidR="00644D79" w:rsidRDefault="00644D79" w:rsidP="00644D79">
      <w:r>
        <w:t>○ tipo de cliente e natureza jurídica, bem como a atividade econômica envolvida;</w:t>
      </w:r>
    </w:p>
    <w:p w14:paraId="5A3FACE6" w14:textId="36A8E2A6" w:rsidR="00644D79" w:rsidRDefault="00644D79" w:rsidP="00644D79">
      <w:r>
        <w:t>○ localização geográfica; produtos, serviços, operações e canais de distribuição utilizados;</w:t>
      </w:r>
    </w:p>
    <w:p w14:paraId="347FFF87" w14:textId="1E36C825" w:rsidR="00644D79" w:rsidRDefault="00644D79" w:rsidP="00644D79">
      <w:r>
        <w:t>○ relacionamento com pessoas politicamente expostas;</w:t>
      </w:r>
    </w:p>
    <w:p w14:paraId="5504AC45" w14:textId="470B793C" w:rsidR="00644D79" w:rsidRDefault="00644D79" w:rsidP="00644D79">
      <w:r>
        <w:t>○ contrapartes das operações quando possível a sua identificação;</w:t>
      </w:r>
    </w:p>
    <w:p w14:paraId="6A4C3E7F" w14:textId="7C14DA66" w:rsidR="00644D79" w:rsidRDefault="00644D79" w:rsidP="00644D79">
      <w:r>
        <w:lastRenderedPageBreak/>
        <w:t>2) CADASTRO E PROCESSOS DE CONHECIMENTOS:</w:t>
      </w:r>
    </w:p>
    <w:p w14:paraId="35287877" w14:textId="3724065C" w:rsidR="00644D79" w:rsidRDefault="00644D79" w:rsidP="00644D79">
      <w:r>
        <w:t>Outra forma de parâmetro é o cadastro e processos de conhecimento dos procedimentos abaixo, que devem abordar as etapas de: coleta, verificação, validação e atualização de informações cadastrais de:</w:t>
      </w:r>
    </w:p>
    <w:p w14:paraId="25E40DDD" w14:textId="5E59D3ED" w:rsidR="00644D79" w:rsidRDefault="00644D79" w:rsidP="00644D79">
      <w:r>
        <w:t>○ Know Your Client - Conheça o seu Cliente;</w:t>
      </w:r>
    </w:p>
    <w:p w14:paraId="1B114EC5" w14:textId="60DECC8B" w:rsidR="00644D79" w:rsidRDefault="00644D79" w:rsidP="00644D79">
      <w:r>
        <w:t>○ Know Your Employee - Conheça o seu Empregado;</w:t>
      </w:r>
    </w:p>
    <w:p w14:paraId="78A5580B" w14:textId="4A7AB782" w:rsidR="00644D79" w:rsidRDefault="00644D79" w:rsidP="00644D79">
      <w:r>
        <w:t>○ Know Your Partner - Conheça o seu Parceiro;</w:t>
      </w:r>
    </w:p>
    <w:p w14:paraId="0D11D305" w14:textId="5E4B2C73" w:rsidR="00644D79" w:rsidRDefault="00644D79" w:rsidP="00644D79">
      <w:r>
        <w:t>As instituições devem adotar medidas para localizar os Beneficiários Finais, que são pessoas naturais que possuem, controlam ou influenciam certas entidades ou outras pessoas naturais com o intuito de conduzir transações no mercado em seus nomes.</w:t>
      </w:r>
    </w:p>
    <w:p w14:paraId="47DAF505" w14:textId="04F51D89" w:rsidR="00644D79" w:rsidRDefault="00644D79" w:rsidP="00644D79">
      <w:r>
        <w:t>A dificuldade ou não conhecimento do Beneficiário Final deverá sempre estar pautado como evidência, mas apenas essa informação não caracteriza como uma ação a ser comunicada ao COAF, por isso a Instituição deve atentar a medidas suplementares requeridas pela ICVM 617/19 e Circular BC 3978/20.</w:t>
      </w:r>
    </w:p>
    <w:p w14:paraId="5138E976" w14:textId="26F9F57B" w:rsidR="00644D79" w:rsidRDefault="00644D79" w:rsidP="00644D79">
      <w:r>
        <w:t>Lembrando ainda que todas as comunicações realizadas têm caráter confidencial e devem ser restritas aos Colaboradores envolvidos no processo de análise. Todos os registros que fundamentem a comunicação ou a decisão pela sua não realização, deverão ser arquivados pelo prazo de 5 (cinco) anos.</w:t>
      </w:r>
    </w:p>
    <w:p w14:paraId="1DFB0C3D" w14:textId="13EA84EB" w:rsidR="00644D79" w:rsidRDefault="00644D79" w:rsidP="00644D79">
      <w:r>
        <w:t xml:space="preserve">     3)     AVALIAÇÃO INTERNA DE RICO = ANALISAR A EFETIVIDADE DOS CONTROLES INTERNOS</w:t>
      </w:r>
    </w:p>
    <w:p w14:paraId="08CB254D" w14:textId="01DCEFDC" w:rsidR="00644D79" w:rsidRDefault="00644D79" w:rsidP="00644D79">
      <w:r>
        <w:t>E, por fim, temos a Avalição Interna de Risco que nada mais é do que a análise da efetividade das normas e procedimentos aplicados pelas Instituições, e verificar se de fato ouve a prevenção a Lavagem de Dinheiro. Não adianta nada a Instituição criar milhares de normas e regras e blá, blá, blá se não estiver rendendo algum resultado, certo?</w:t>
      </w:r>
    </w:p>
    <w:p w14:paraId="3807FCB1" w14:textId="04201296" w:rsidR="00644D79" w:rsidRDefault="00644D79" w:rsidP="00644D79">
      <w:r>
        <w:t>A circular 3978/20 prevê que as instituições devem elaborar um relatório anual que avalie a efetividade do cumprimento da política, regras e procedimentos para a prevenção da LD-FT. A norma prevê a obrigatoriedade do documento, sendo aprovado pelo diretor da área de PLD-FT e encaminhado para o comitê de auditoria e, quando houver, conselho de administração ou diretoria. Esse relatório deverá conter informações a respeito da atividade de prevenção à lavagem de dinheiro e a efetividade da metodologia implementada, podendo também contar com sugestões de aprimoramento dos procedimentos adotados.</w:t>
      </w:r>
    </w:p>
    <w:p w14:paraId="5D75A8D5" w14:textId="0AB32BB6" w:rsidR="00644D79" w:rsidRDefault="00644D79" w:rsidP="00644D79">
      <w:r>
        <w:rPr>
          <w:noProof/>
        </w:rPr>
        <w:lastRenderedPageBreak/>
        <w:drawing>
          <wp:inline distT="0" distB="0" distL="0" distR="0" wp14:anchorId="5641A81B" wp14:editId="43CFE668">
            <wp:extent cx="5391150" cy="3667125"/>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150" cy="3667125"/>
                    </a:xfrm>
                    <a:prstGeom prst="rect">
                      <a:avLst/>
                    </a:prstGeom>
                    <a:noFill/>
                    <a:ln>
                      <a:noFill/>
                    </a:ln>
                  </pic:spPr>
                </pic:pic>
              </a:graphicData>
            </a:graphic>
          </wp:inline>
        </w:drawing>
      </w:r>
    </w:p>
    <w:p w14:paraId="16A0A0B0" w14:textId="46C7617F" w:rsidR="00F72B83" w:rsidRDefault="00F72B83" w:rsidP="00644D79">
      <w:r w:rsidRPr="00F72B83">
        <w:t>NOVO - KYE - Know Your Employee</w:t>
      </w:r>
    </w:p>
    <w:p w14:paraId="3FD7CC92" w14:textId="496F7EEB" w:rsidR="00F72B83" w:rsidRDefault="00F72B83" w:rsidP="00F72B83">
      <w:r>
        <w:t>CONHEÇA SEU EMPREGADO</w:t>
      </w:r>
    </w:p>
    <w:p w14:paraId="460B750C" w14:textId="42621FEC" w:rsidR="00F72B83" w:rsidRDefault="00F72B83" w:rsidP="00F72B83">
      <w:r>
        <w:t>Não adianta nada a Instituição cuidar tanto dos seus clientes e ocorrer Lavagem de Dinheiro entre os próprios empregados/funcionários da empresa, não é mesmo?</w:t>
      </w:r>
    </w:p>
    <w:p w14:paraId="59E3B2C9" w14:textId="19ED5EFF" w:rsidR="00F72B83" w:rsidRDefault="00F72B83" w:rsidP="00F72B83">
      <w:r>
        <w:t>O princípio do “CONHEÇA SEU EMPREGADO” - Know Your Employee (KYE) visa conhecer o contratado pela instituição desde a contratação, tendo informações sobre seu ciclo de vida e de suas transações, tendo como objetivo identificar a origem dos recursos e avaliar se existe compatibilidade entre as movimentações e a sua capacidade financeira.</w:t>
      </w:r>
    </w:p>
    <w:p w14:paraId="5A3A3C05" w14:textId="6086440C" w:rsidR="00F72B83" w:rsidRDefault="00F72B83" w:rsidP="00F72B83">
      <w:r>
        <w:t>Uma das práticas de compliance da instituição, é de importância do RH fazer uma varredura nos candidatos a serem contratados, sobre a existência de antecedentes criminais (quais os motivos), se já cometeram alguma fraude ou até se estão respondendo judicialmente em algum processo em aberto.</w:t>
      </w:r>
    </w:p>
    <w:p w14:paraId="071D6A28" w14:textId="77777777" w:rsidR="00F72B83" w:rsidRDefault="00F72B83" w:rsidP="00F72B83">
      <w:r>
        <w:t>Também há o desenvolvimento de políticas PL-FT, para que exista um monitoramento antifraude capaz de identificar atividades incomuns dentro da instituição. Sendo elas suspeitas, haverá uma análise para identificar qual foi a verdadeira intenção e se essa conduta foi de potencial leve ou de alta gravidade dentro das diretrizes da PLD-FT.</w:t>
      </w:r>
    </w:p>
    <w:p w14:paraId="69F42292" w14:textId="5564E393" w:rsidR="00F72B83" w:rsidRDefault="00F72B83" w:rsidP="00F72B83">
      <w:r>
        <w:t>Mais um ponto abordado pelo KYE, é questões internas entre os funcionários. Então, toda uma política que visa evitar que ocorra assédio moral, sexual e preconceitos para com outros funcionários. Como medida, é comum serem implementados canais de denúncia para que não haja divulgação do denunciante.</w:t>
      </w:r>
    </w:p>
    <w:p w14:paraId="1A7B4EF4" w14:textId="6CA6AAD5" w:rsidR="00F72B83" w:rsidRDefault="00F72B83" w:rsidP="00F72B83">
      <w:r>
        <w:rPr>
          <w:noProof/>
        </w:rPr>
        <w:lastRenderedPageBreak/>
        <w:drawing>
          <wp:inline distT="0" distB="0" distL="0" distR="0" wp14:anchorId="5920EAF8" wp14:editId="786C53CE">
            <wp:extent cx="5400040" cy="2181225"/>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181225"/>
                    </a:xfrm>
                    <a:prstGeom prst="rect">
                      <a:avLst/>
                    </a:prstGeom>
                    <a:noFill/>
                    <a:ln>
                      <a:noFill/>
                    </a:ln>
                  </pic:spPr>
                </pic:pic>
              </a:graphicData>
            </a:graphic>
          </wp:inline>
        </w:drawing>
      </w:r>
    </w:p>
    <w:p w14:paraId="50F49168" w14:textId="0BA509FE" w:rsidR="00F72B83" w:rsidRDefault="00F72B83" w:rsidP="00F72B83">
      <w:r w:rsidRPr="00F72B83">
        <w:t>NOVO - KYP - Know Your Partner</w:t>
      </w:r>
    </w:p>
    <w:p w14:paraId="18817916" w14:textId="77777777" w:rsidR="00F72B83" w:rsidRDefault="00F72B83" w:rsidP="00F72B83">
      <w:r>
        <w:t>CONHEÇA SEU PARCEIRO</w:t>
      </w:r>
    </w:p>
    <w:p w14:paraId="1F99459A" w14:textId="1DD2D59E" w:rsidR="00F72B83" w:rsidRDefault="00F72B83" w:rsidP="00F72B83">
      <w:r>
        <w:t>O princípio do “CONHEÇA SEU PARCEIRO” - Know Your Partners (KYP) é o processo de conhecer e obter informações sobre seus parceiros que irão ter relação com a instituição em questão.</w:t>
      </w:r>
    </w:p>
    <w:p w14:paraId="3A6FA794" w14:textId="25FAB3DC" w:rsidR="00F72B83" w:rsidRDefault="00F72B83" w:rsidP="00F72B83">
      <w:r>
        <w:t>A busca e investigação tem como objetivo assegurar um adequado conhecimento em relação aos parceiros da instituição, estabelecendo princípios e regras a serem seguidos para garantir a integridade dos negócios entre os envolvidos. Assim, evitando fraudes, diminuindo riscos e envolvimento com pessoas jurídicas ou físicas.</w:t>
      </w:r>
    </w:p>
    <w:p w14:paraId="1086D0E2" w14:textId="3C370655" w:rsidR="00F72B83" w:rsidRDefault="00F72B83" w:rsidP="00F72B83">
      <w:r>
        <w:t>Pode-se observar que normas internas de compliance das instituições já aderiram às políticas de admissão, contratação e cadastro, além da qualificação de fornecedores. De acordo com as exigências das políticas de PLD-FT.</w:t>
      </w:r>
    </w:p>
    <w:p w14:paraId="17E5A674" w14:textId="4A2C95F8" w:rsidR="00F72B83" w:rsidRDefault="00F72B83" w:rsidP="00F72B83">
      <w:r>
        <w:t>Alguns exemplos de diretrizes exigidas:</w:t>
      </w:r>
    </w:p>
    <w:p w14:paraId="193AC5F7" w14:textId="2F1EC306" w:rsidR="00F72B83" w:rsidRDefault="00F72B83" w:rsidP="00F72B83">
      <w:r>
        <w:rPr>
          <w:rFonts w:ascii="Segoe UI Symbol" w:hAnsi="Segoe UI Symbol" w:cs="Segoe UI Symbol"/>
        </w:rPr>
        <w:t>⯀</w:t>
      </w:r>
      <w:r>
        <w:t xml:space="preserve"> Garantir a imparcialidade no estabelecimento e na manutenção de relacionamento com parceiros de negócios, mediante a adoção de critérios objetivos e justos;</w:t>
      </w:r>
    </w:p>
    <w:p w14:paraId="0B0C291E" w14:textId="2B822E4D" w:rsidR="00F72B83" w:rsidRDefault="00F72B83" w:rsidP="00F72B83">
      <w:r>
        <w:rPr>
          <w:rFonts w:ascii="Segoe UI Symbol" w:hAnsi="Segoe UI Symbol" w:cs="Segoe UI Symbol"/>
        </w:rPr>
        <w:t>⯀</w:t>
      </w:r>
      <w:r>
        <w:t xml:space="preserve"> Assegurar a conformidade com legislações, regulamentações, políticas e normas aplicáveis, em especial as que disciplinam a prevenção à lavagem de dinheiro, ao financiamento do terrorismo, à corrupção e ao suborno;</w:t>
      </w:r>
    </w:p>
    <w:p w14:paraId="3E606F79" w14:textId="675125A9" w:rsidR="00F72B83" w:rsidRDefault="00F72B83" w:rsidP="00F72B83">
      <w:r>
        <w:rPr>
          <w:rFonts w:ascii="Segoe UI Symbol" w:hAnsi="Segoe UI Symbol" w:cs="Segoe UI Symbol"/>
        </w:rPr>
        <w:t>⯀</w:t>
      </w:r>
      <w:r>
        <w:t xml:space="preserve"> Assegurar que todos os nossos relacionamentos com parceiros de negócios, no país e no exterior, sejam pautados pela reciprocidade da conduta ética e transparente, inclusive na aceitação de novos parceiros;</w:t>
      </w:r>
    </w:p>
    <w:p w14:paraId="0D5E2282" w14:textId="16AF8A16" w:rsidR="00F72B83" w:rsidRDefault="00F72B83" w:rsidP="00F72B83">
      <w:r>
        <w:rPr>
          <w:rFonts w:ascii="Segoe UI Symbol" w:hAnsi="Segoe UI Symbol" w:cs="Segoe UI Symbol"/>
        </w:rPr>
        <w:t>⯀</w:t>
      </w:r>
      <w:r>
        <w:t xml:space="preserve"> Adotar efetivos procedimentos destinados a conhecer os parceiros, incluindo processos de identificação, qualificação e classificação de risco de lavagem de dinheiro e do financiamento do terrorismo;</w:t>
      </w:r>
    </w:p>
    <w:p w14:paraId="557D14F6" w14:textId="3C59C7F2" w:rsidR="00F72B83" w:rsidRDefault="00F72B83" w:rsidP="00F72B83">
      <w:r>
        <w:rPr>
          <w:rFonts w:ascii="Segoe UI Symbol" w:hAnsi="Segoe UI Symbol" w:cs="Segoe UI Symbol"/>
        </w:rPr>
        <w:t>⯀</w:t>
      </w:r>
      <w:r>
        <w:t xml:space="preserve"> Incentivar a cultura de prevenção à lavagem de dinheiro, ao financiamento do terrorismo, à corrupção, ao suborno, às condutas anticompetitivas e antiéticas para nossos parceiros de negócios.</w:t>
      </w:r>
    </w:p>
    <w:p w14:paraId="5B585592" w14:textId="378878D9" w:rsidR="00F72B83" w:rsidRDefault="00F72B83" w:rsidP="00F72B83">
      <w:r>
        <w:rPr>
          <w:noProof/>
        </w:rPr>
        <w:lastRenderedPageBreak/>
        <w:drawing>
          <wp:inline distT="0" distB="0" distL="0" distR="0" wp14:anchorId="1B1CE91A" wp14:editId="0DA47DB1">
            <wp:extent cx="5400040" cy="236220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2362200"/>
                    </a:xfrm>
                    <a:prstGeom prst="rect">
                      <a:avLst/>
                    </a:prstGeom>
                    <a:noFill/>
                    <a:ln>
                      <a:noFill/>
                    </a:ln>
                  </pic:spPr>
                </pic:pic>
              </a:graphicData>
            </a:graphic>
          </wp:inline>
        </w:drawing>
      </w:r>
    </w:p>
    <w:p w14:paraId="0990FCD2" w14:textId="139B8622" w:rsidR="00F72B83" w:rsidRDefault="000B3865" w:rsidP="00F72B83">
      <w:r w:rsidRPr="000B3865">
        <w:t>Política de Segurança da Informação - Art IV e VII Res CMN 255498</w:t>
      </w:r>
    </w:p>
    <w:p w14:paraId="73D70D8A" w14:textId="32D1B13B" w:rsidR="000B3865" w:rsidRDefault="000B3865" w:rsidP="000B3865">
      <w:r>
        <w:t>V - A existência de canais de comunicação que assegurem aos funcionários, segundo o correspondente nível de atuação, o acesso a confiáveis, tempestivas e compreensíveis informações consideradas relevantes para suas tarefas e responsabilidades;</w:t>
      </w:r>
    </w:p>
    <w:p w14:paraId="5D4F3172" w14:textId="3188FB6D" w:rsidR="000B3865" w:rsidRDefault="000B3865" w:rsidP="000B3865">
      <w:r>
        <w:t>É necessário uma boa comunicação interna efetiva para o profissional conseguir desempenhar suas funções e responsabilidades na Instituição Financeira;</w:t>
      </w:r>
    </w:p>
    <w:p w14:paraId="308B729F" w14:textId="6F225A03" w:rsidR="000B3865" w:rsidRDefault="000B3865" w:rsidP="000B3865">
      <w:r>
        <w:t>É fundamental que os funcionários estejam informados e integrados entre si, para não haver incompatibilidade de informações;</w:t>
      </w:r>
    </w:p>
    <w:p w14:paraId="0697AE75" w14:textId="13E427FE" w:rsidR="000B3865" w:rsidRDefault="000B3865" w:rsidP="000B3865">
      <w:r>
        <w:t>VII - A existência de testes periódicos de segurança para os sistemas de informações, em especial para os mantidos em meio eletrônico.</w:t>
      </w:r>
    </w:p>
    <w:p w14:paraId="6F465BC8" w14:textId="32DEFB57" w:rsidR="000B3865" w:rsidRDefault="000B3865" w:rsidP="000B3865">
      <w:r>
        <w:t>Os testes periódicos fazem parte do controle interno;</w:t>
      </w:r>
    </w:p>
    <w:p w14:paraId="0B463FDE" w14:textId="2F5CF7B2" w:rsidR="000B3865" w:rsidRDefault="000B3865" w:rsidP="000B3865">
      <w:r>
        <w:t>São realizados para verificar a efetividade das políticas, regras e procedimentos adotados;</w:t>
      </w:r>
    </w:p>
    <w:p w14:paraId="50757029" w14:textId="1C973F42" w:rsidR="000B3865" w:rsidRDefault="000B3865" w:rsidP="000B3865">
      <w:r>
        <w:t>Não pode haver falha no vazamento de informações dos clientes.</w:t>
      </w:r>
    </w:p>
    <w:p w14:paraId="7162876A" w14:textId="54EDD542" w:rsidR="000B3865" w:rsidRDefault="000B3865" w:rsidP="000B3865">
      <w:r>
        <w:rPr>
          <w:noProof/>
        </w:rPr>
        <w:drawing>
          <wp:inline distT="0" distB="0" distL="0" distR="0" wp14:anchorId="64C1C846" wp14:editId="11A045D9">
            <wp:extent cx="5391150" cy="18859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1150" cy="1885950"/>
                    </a:xfrm>
                    <a:prstGeom prst="rect">
                      <a:avLst/>
                    </a:prstGeom>
                    <a:noFill/>
                    <a:ln>
                      <a:noFill/>
                    </a:ln>
                  </pic:spPr>
                </pic:pic>
              </a:graphicData>
            </a:graphic>
          </wp:inline>
        </w:drawing>
      </w:r>
    </w:p>
    <w:p w14:paraId="793A308B" w14:textId="77777777" w:rsidR="000B3865" w:rsidRDefault="000B3865" w:rsidP="000B3865"/>
    <w:p w14:paraId="6DD5F21F" w14:textId="77777777" w:rsidR="000B3865" w:rsidRDefault="000B3865" w:rsidP="000B3865"/>
    <w:p w14:paraId="49356D65" w14:textId="77777777" w:rsidR="000B3865" w:rsidRDefault="000B3865" w:rsidP="000B3865"/>
    <w:p w14:paraId="5B1C7435" w14:textId="77777777" w:rsidR="000B3865" w:rsidRDefault="000B3865" w:rsidP="000B3865"/>
    <w:p w14:paraId="431B3392" w14:textId="21B29575" w:rsidR="000B3865" w:rsidRDefault="000B3865" w:rsidP="000B3865">
      <w:r w:rsidRPr="000B3865">
        <w:lastRenderedPageBreak/>
        <w:t xml:space="preserve">Pessoas Expostas Politicamente </w:t>
      </w:r>
      <w:r>
        <w:t>–</w:t>
      </w:r>
      <w:r w:rsidRPr="000B3865">
        <w:t xml:space="preserve"> PEP</w:t>
      </w:r>
    </w:p>
    <w:p w14:paraId="6F7B3939" w14:textId="6DA2F2C3" w:rsidR="000B3865" w:rsidRDefault="000B3865" w:rsidP="000B3865">
      <w:r>
        <w:t>As instituições que estão sujeitas à lei de Lavagem de Dinheiro devem coletar de seus clientes permanentes informações que permitam caracterizá-los ou não como Pessoas Politicamente Expostas e identificar a origem dos fundos envolvidos nas transações dos clientes assim caracterizados.</w:t>
      </w:r>
    </w:p>
    <w:p w14:paraId="2B5F4A76" w14:textId="5973445C" w:rsidR="000B3865" w:rsidRDefault="000B3865" w:rsidP="000B3865">
      <w:r>
        <w:t xml:space="preserve">Considera-se Pessoas Politicamente Expostas: </w:t>
      </w:r>
    </w:p>
    <w:p w14:paraId="17E8B5B3" w14:textId="36EA66B7" w:rsidR="000B3865" w:rsidRDefault="000B3865" w:rsidP="000B3865">
      <w:r>
        <w:t xml:space="preserve"> </w:t>
      </w:r>
      <w:r>
        <w:rPr>
          <w:rFonts w:ascii="Segoe UI Symbol" w:hAnsi="Segoe UI Symbol" w:cs="Segoe UI Symbol"/>
        </w:rPr>
        <w:t>⯀</w:t>
      </w:r>
      <w:r>
        <w:t xml:space="preserve"> os agentes públicos que desempenham ou tenham desempenhado, nos últimos cinco anos, no Brasil ou em países, territórios e dependências estrangeiros, cargos, empregos ou funções públicas relevantes, assim como seus representantes, familiares e outras pessoas de seu relacionamento próximo;</w:t>
      </w:r>
    </w:p>
    <w:p w14:paraId="7754CA67" w14:textId="157B514B" w:rsidR="000B3865" w:rsidRDefault="000B3865" w:rsidP="000B3865">
      <w:r>
        <w:t xml:space="preserve"> </w:t>
      </w:r>
      <w:r>
        <w:rPr>
          <w:rFonts w:ascii="Segoe UI Symbol" w:hAnsi="Segoe UI Symbol" w:cs="Segoe UI Symbol"/>
        </w:rPr>
        <w:t>⯀</w:t>
      </w:r>
      <w:r>
        <w:t xml:space="preserve"> no caso de clientes brasileiros, devem ser abrangidos: </w:t>
      </w:r>
    </w:p>
    <w:p w14:paraId="2C0F64E0" w14:textId="426E1DD5" w:rsidR="000B3865" w:rsidRDefault="000B3865" w:rsidP="000B3865">
      <w:r>
        <w:t>Dispõe sobre os procedimentos a serem observados pelas pessoas reguladas pelo COAF, na forma do § 1° do artigo 14 da Lei no 9.613, de 3 de março de 1998, relativamente a pessoas expostas politicamente.</w:t>
      </w:r>
    </w:p>
    <w:p w14:paraId="6C6D78CD" w14:textId="5E99841C" w:rsidR="000B3865" w:rsidRDefault="000B3865" w:rsidP="000B3865">
      <w:r>
        <w:t>Art. 1° As pessoas reguladas pelo COAF, nos termos do artigo 9° da Lei no 9.613, de 3 de março de 1998, devem adotar as providências previstas nesta Resolução para o acompanhamento de operações ou propostas de operações com pessoas expostas politicamente.</w:t>
      </w:r>
    </w:p>
    <w:p w14:paraId="71098401" w14:textId="3E51AE53" w:rsidR="000B3865" w:rsidRDefault="000B3865" w:rsidP="000B3865">
      <w:r>
        <w:t xml:space="preserve">§1º Para fins do disposto nesta Resolução, consideram-se pessoas expostas politicamente: </w:t>
      </w:r>
    </w:p>
    <w:p w14:paraId="25EA1975" w14:textId="2828BFC5" w:rsidR="000B3865" w:rsidRDefault="000B3865" w:rsidP="000B3865">
      <w:r>
        <w:t xml:space="preserve">I. os detentores de mandatos eletivos dos Poderes Executivo e Legislativo da União; </w:t>
      </w:r>
    </w:p>
    <w:p w14:paraId="3321141F" w14:textId="78BDE5E0" w:rsidR="000B3865" w:rsidRDefault="000B3865" w:rsidP="000B3865">
      <w:r>
        <w:t xml:space="preserve">II. os ocupantes de cargo, no Poder Executivo da União, de: </w:t>
      </w:r>
    </w:p>
    <w:p w14:paraId="066CE956" w14:textId="112FFB07" w:rsidR="000B3865" w:rsidRDefault="000B3865" w:rsidP="000B3865">
      <w:r>
        <w:t xml:space="preserve">a. Ministro de Estado ou equiparado; </w:t>
      </w:r>
    </w:p>
    <w:p w14:paraId="0A53F29D" w14:textId="36735434" w:rsidR="000B3865" w:rsidRDefault="000B3865" w:rsidP="000B3865">
      <w:r>
        <w:t>b. Natureza Especial ou equivalente;</w:t>
      </w:r>
    </w:p>
    <w:p w14:paraId="7CD4579C" w14:textId="3D9273DA" w:rsidR="000B3865" w:rsidRDefault="000B3865" w:rsidP="000B3865">
      <w:r>
        <w:t>c. presidente, vice-presidente e diretor, ou equivalentes, de entidades da administração pública indireta; e</w:t>
      </w:r>
    </w:p>
    <w:p w14:paraId="0D8A32D9" w14:textId="017218D9" w:rsidR="000B3865" w:rsidRDefault="000B3865" w:rsidP="000B3865">
      <w:r>
        <w:t xml:space="preserve"> d. Grupo Direção e Assessoramento Superior - DAS, nível 6, ou equivalente; </w:t>
      </w:r>
    </w:p>
    <w:p w14:paraId="26A0499D" w14:textId="272B2761" w:rsidR="000B3865" w:rsidRDefault="000B3865" w:rsidP="000B3865">
      <w:r>
        <w:t>III. os membros do Supremo Tribunal Federal, dos Tribunais Superiores e dos Tribunais Regionais Federais, do Trabalho e Eleitorais;</w:t>
      </w:r>
    </w:p>
    <w:p w14:paraId="7E6953C9" w14:textId="0BBE8619" w:rsidR="000B3865" w:rsidRDefault="000B3865" w:rsidP="000B3865">
      <w:r>
        <w:t xml:space="preserve"> IV. o Procurador-Geral da República, o Procurador-Geral do Trabalho, o Procurador-Geral da Justiça Militar e os Procuradores-Gerais de Justiça dos Estados e do Distrito Federal; </w:t>
      </w:r>
    </w:p>
    <w:p w14:paraId="4F055974" w14:textId="2CA331E9" w:rsidR="000B3865" w:rsidRDefault="000B3865" w:rsidP="000B3865">
      <w:r>
        <w:t>V. os membros do Tribunal de Contas da União e o Procurador-Geral do Ministério Público junto ao Tribunal de Contas da União;</w:t>
      </w:r>
    </w:p>
    <w:p w14:paraId="5A783515" w14:textId="74B05B15" w:rsidR="000B3865" w:rsidRDefault="000B3865" w:rsidP="000B3865">
      <w:r>
        <w:t xml:space="preserve"> VI. os presidentes e tesoureiros nacionais, ou equivalentes, de partidos políticos; </w:t>
      </w:r>
    </w:p>
    <w:p w14:paraId="50994BA2" w14:textId="77777777" w:rsidR="000B3865" w:rsidRDefault="000B3865" w:rsidP="000B3865">
      <w:r>
        <w:t xml:space="preserve">VII. os governadores e secretários de Estado e do Distrito Federal, os Deputados Estaduais e Distritais, os presidentes, ou equivalentes, de entidades da administração pública indireta estadual e distrital e os presidentes de Tribunais de Justiça, Militares, de Contas ou equivalente de Estado e do Distrito Federal; </w:t>
      </w:r>
    </w:p>
    <w:p w14:paraId="51DBEC28" w14:textId="12E4F5A4" w:rsidR="000B3865" w:rsidRDefault="000B3865" w:rsidP="000B3865">
      <w:r>
        <w:lastRenderedPageBreak/>
        <w:t>VIII. os Prefeitos, Vereadores, Presidentes de Tribunais de Contas ou equivalente dos Municípios.</w:t>
      </w:r>
    </w:p>
    <w:p w14:paraId="73A9B528" w14:textId="3096591A" w:rsidR="000B3865" w:rsidRDefault="000B3865" w:rsidP="000B3865">
      <w:r>
        <w:t>§2º Para fins do disposto nesta Resolução, também são consideradas pessoas expostas politicamente aquelas que, no exterior, sejam:</w:t>
      </w:r>
    </w:p>
    <w:p w14:paraId="5097AB0D" w14:textId="77777777" w:rsidR="000B3865" w:rsidRDefault="000B3865" w:rsidP="000B3865">
      <w:r>
        <w:t xml:space="preserve">I. chefes de estado ou de governo; </w:t>
      </w:r>
    </w:p>
    <w:p w14:paraId="2EE2CC33" w14:textId="2D304A12" w:rsidR="000B3865" w:rsidRDefault="000B3865" w:rsidP="000B3865">
      <w:r>
        <w:t xml:space="preserve">II. políticos de escalões superiores; </w:t>
      </w:r>
    </w:p>
    <w:p w14:paraId="70D21B1C" w14:textId="2EFCA41A" w:rsidR="000B3865" w:rsidRDefault="000B3865" w:rsidP="000B3865">
      <w:r>
        <w:t xml:space="preserve">III. ocupantes de cargos governamentais de escalões superiores; </w:t>
      </w:r>
    </w:p>
    <w:p w14:paraId="56088D7B" w14:textId="74883042" w:rsidR="000B3865" w:rsidRDefault="000B3865" w:rsidP="000B3865">
      <w:r>
        <w:t>IV. oficiais generais e membros de escalões superiores do poder judiciário;</w:t>
      </w:r>
    </w:p>
    <w:p w14:paraId="2E33B2DB" w14:textId="285F8BF0" w:rsidR="000B3865" w:rsidRDefault="000B3865" w:rsidP="000B3865">
      <w:r>
        <w:t xml:space="preserve"> V. executivos de escalões superiores de empresas públicas; ou </w:t>
      </w:r>
    </w:p>
    <w:p w14:paraId="7F63EF40" w14:textId="27B03C0E" w:rsidR="000B3865" w:rsidRDefault="000B3865" w:rsidP="000B3865">
      <w:r>
        <w:t>VI. dirigentes de partidos políticos.</w:t>
      </w:r>
    </w:p>
    <w:p w14:paraId="6BDA481F" w14:textId="024190E0" w:rsidR="000B3865" w:rsidRDefault="000B3865" w:rsidP="000B3865">
      <w:r>
        <w:t>§3º Para fins do disposto nesta Resolução, também são consideradas pessoas expostas politicamente os dirigentes de escalões superiores de entidades de direito internacional público ou privado.</w:t>
      </w:r>
    </w:p>
    <w:p w14:paraId="1BBE497F" w14:textId="5DD9A952" w:rsidR="000B3865" w:rsidRDefault="000B3865" w:rsidP="000B3865">
      <w:r>
        <w:t>§4º Para fins de identificação de pessoas expostas politicamente que se enquadram no §1º deste artigo, as pessoas reguladas pelo COAF deverão consultar base de dados específica, disponibilizada pelo Governo Federa</w:t>
      </w:r>
    </w:p>
    <w:p w14:paraId="67D62BE7" w14:textId="6AF1EB38" w:rsidR="000B3865" w:rsidRDefault="000B3865" w:rsidP="000B3865">
      <w:r>
        <w:t>§5º Para fins de identificação de pessoas expostas politicamente que se enquadram nos §§ 2º e 3º deste artigo, as pessoas reguladas pelo COAF deverão recorrer a fontes abertas e bases de dados públicas e privadas</w:t>
      </w:r>
    </w:p>
    <w:p w14:paraId="43040A9C" w14:textId="28E16BD1" w:rsidR="000B3865" w:rsidRDefault="000B3865" w:rsidP="000B3865">
      <w:r>
        <w:t>§6º A condição de pessoa exposta politicamente perdura até cinco anos contados da data em que a pessoa deixou de se enquadrar nos §§ 1º, 2º e 3º deste artigo.</w:t>
      </w:r>
    </w:p>
    <w:p w14:paraId="69F7424A" w14:textId="3E10E301" w:rsidR="000B3865" w:rsidRDefault="000B3865" w:rsidP="000B3865">
      <w:r>
        <w:t>Art. 2º As pessoas reguladas pelo COAF devem dedicar especial atenção às operações ou propostas de operações envolvendo pessoa exposta politicamente, bem como com seus familiares, estreitos colaboradores e ou pessoas jurídicas de que participem, observando, nos casos de maior risco, pelo menos os seguintes procedimentos:</w:t>
      </w:r>
    </w:p>
    <w:p w14:paraId="02AA0F95" w14:textId="7C50AD2F" w:rsidR="000B3865" w:rsidRDefault="000B3865" w:rsidP="000B3865">
      <w:r>
        <w:t>I. obter a autorização prévia do sócio administrador para o estabelecimento de relação de negócios ou para o prosseguimento de relações já existentes;</w:t>
      </w:r>
    </w:p>
    <w:p w14:paraId="7FE7D953" w14:textId="62A8AF0F" w:rsidR="000B3865" w:rsidRDefault="000B3865" w:rsidP="000B3865">
      <w:r>
        <w:t xml:space="preserve"> II. adotar devidas diligências para estabelecer a origem dos recursos; </w:t>
      </w:r>
    </w:p>
    <w:p w14:paraId="379B783A" w14:textId="75EB65AE" w:rsidR="000B3865" w:rsidRDefault="000B3865" w:rsidP="000B3865">
      <w:r>
        <w:t>III. conduzir monitoramento reforçado e contínuo da relação de negócio</w:t>
      </w:r>
    </w:p>
    <w:p w14:paraId="196DC141" w14:textId="59B7A96B" w:rsidR="000B3865" w:rsidRDefault="000B3865" w:rsidP="000B3865">
      <w:r>
        <w:t>§1º Para fins do disposto no caput são considerados familiares os parentes, na linha direta, até o segundo grau, o cônjuge, o companheiro, a companheira, o enteado e a enteada.</w:t>
      </w:r>
    </w:p>
    <w:p w14:paraId="4866EED5" w14:textId="7FFE4C07" w:rsidR="000B3865" w:rsidRDefault="000B3865" w:rsidP="000B3865">
      <w:r>
        <w:t xml:space="preserve">§2º Para fins do disposto no caput são considerados estreitos colaboradores: </w:t>
      </w:r>
    </w:p>
    <w:p w14:paraId="501895C7" w14:textId="77777777" w:rsidR="000B3865" w:rsidRDefault="000B3865" w:rsidP="000B3865">
      <w:r>
        <w:t>I. pessoas naturais que são conhecidas por terem sociedade ou propriedade conjunta em pessoas jurídicas de direito privado ou em arranjos sem personalidade jurídica, que figurem como mandatárias, ainda que por instrumento particular, ou possuam qualquer outro tipo de estreita relação de conhecimento público com uma pessoa exposta politicamente;</w:t>
      </w:r>
    </w:p>
    <w:p w14:paraId="03C4AF0E" w14:textId="147E65EB" w:rsidR="000B3865" w:rsidRDefault="000B3865" w:rsidP="000B3865">
      <w:r>
        <w:lastRenderedPageBreak/>
        <w:t>II. pessoas naturais que têm o controle de pessoas jurídicas de direito privado ou em arranjos sem personalidade jurídica, conhecidos por terem sido criados para o benefício de uma pessoa exposta politicamente.</w:t>
      </w:r>
    </w:p>
    <w:p w14:paraId="5A7F8A9C" w14:textId="20526423" w:rsidR="000B3865" w:rsidRDefault="000B3865" w:rsidP="000B3865">
      <w:r>
        <w:t>Art. 3º Às pessoas mencionadas no art. 1º, bem como aos seus administradores, quando pessoa jurídica, que deixarem de cumprir as obrigações desta Resolução serão aplicadas, cumulativamente ou não, pelo COAF, as sanções previstas no art. 12 da Lei nº 9.613, de 1998, na forma do disposto no Decreto nº 2.799, de 1998, e na Portaria do Ministro de Estado da Fazenda nº 330, de 18 de dezembro de 1998.</w:t>
      </w:r>
    </w:p>
    <w:p w14:paraId="0D0132B0" w14:textId="6AF94B25" w:rsidR="000B3865" w:rsidRDefault="000B3865" w:rsidP="000B3865">
      <w:r>
        <w:t>Art. 4º Esta Resolução entra em vigor no prazo de noventa dias a partir da data de sua publicação, quando ficará revogada a Resolução nº 16, de 28 de março de 2007.</w:t>
      </w:r>
    </w:p>
    <w:p w14:paraId="78C4AC25" w14:textId="1F48170E" w:rsidR="000B3865" w:rsidRDefault="000B3865" w:rsidP="000B3865">
      <w:r>
        <w:rPr>
          <w:noProof/>
        </w:rPr>
        <w:drawing>
          <wp:inline distT="0" distB="0" distL="0" distR="0" wp14:anchorId="6500E0E7" wp14:editId="3A906326">
            <wp:extent cx="5394960" cy="3383280"/>
            <wp:effectExtent l="0" t="0" r="0" b="762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4960" cy="3383280"/>
                    </a:xfrm>
                    <a:prstGeom prst="rect">
                      <a:avLst/>
                    </a:prstGeom>
                    <a:noFill/>
                    <a:ln>
                      <a:noFill/>
                    </a:ln>
                  </pic:spPr>
                </pic:pic>
              </a:graphicData>
            </a:graphic>
          </wp:inline>
        </w:drawing>
      </w:r>
    </w:p>
    <w:p w14:paraId="2BA94370" w14:textId="66AFEE5C" w:rsidR="000B3865" w:rsidRDefault="00F467D2" w:rsidP="000B3865">
      <w:r w:rsidRPr="00F467D2">
        <w:t>Insider Trading &amp; Front Running</w:t>
      </w:r>
    </w:p>
    <w:p w14:paraId="14235BCA" w14:textId="034EA71D" w:rsidR="00F467D2" w:rsidRDefault="00F467D2" w:rsidP="00F467D2">
      <w:r>
        <w:t xml:space="preserve">Insider Trading </w:t>
      </w:r>
    </w:p>
    <w:p w14:paraId="2BEF990D" w14:textId="7B6DAD91" w:rsidR="00F467D2" w:rsidRDefault="00F467D2" w:rsidP="00F467D2">
      <w:r>
        <w:t>Podemos resumir “Insider Trading” como o uso de informações privilegiadas e a negociação de valores mobiliários. Isso baseado no conhecimento de informações relevantes que ainda não são de conhecimento público, com o objetivo de auferir lucro ou vantagem no mercado para si próprio</w:t>
      </w:r>
    </w:p>
    <w:p w14:paraId="26BCFE17" w14:textId="39A8900F" w:rsidR="00F467D2" w:rsidRDefault="00F467D2" w:rsidP="00F467D2">
      <w:r>
        <w:t>Um executivo que faz parte do conselho da empresa, em função de seu cargo, possui informações estratégicas e confidenciais da empresa. Utilizar estas informações estratégicas para beneficiar-se é considerado um crime contra o sistema financeiro</w:t>
      </w:r>
    </w:p>
    <w:p w14:paraId="49E776C0" w14:textId="080A042B" w:rsidR="00F467D2" w:rsidRDefault="00F467D2" w:rsidP="00F467D2">
      <w:r>
        <w:t>Se você lembra do Joesley Batista, que entregou uma gravação com o presidente da república Michel Temer, talvez lembrará que a J&amp;F (empresa controladora da Friboi) vendeu ações no Mercado Financeiro em grande volume antes da divulgação da gravação. O diretor financeiro teria usado de informações privilegiadas para vender ações da empresa no mercado, pois sabia que o preço cairia. Dessa forma, a empresa vendeu caro e comprou barato.</w:t>
      </w:r>
    </w:p>
    <w:p w14:paraId="17519714" w14:textId="2044BCC1" w:rsidR="00F467D2" w:rsidRDefault="00F467D2" w:rsidP="00F467D2">
      <w:r>
        <w:lastRenderedPageBreak/>
        <w:t xml:space="preserve">Front Running </w:t>
      </w:r>
    </w:p>
    <w:p w14:paraId="7812EC5B" w14:textId="3DC095EF" w:rsidR="00F467D2" w:rsidRDefault="00F467D2" w:rsidP="00F467D2">
      <w:r>
        <w:t>Front running é uma prática ilegal de obtenção de informações antecipadas sobre a realização de operação nos mercados de bolsa ou de balcão e que influenciarão a formação dos preços de determinados produtos de investimento. A prática de “Front Running” consiste em realizar operações antecipadamente às operações principais. Neste caso, surge o chamado conflito de ordens de compra e venda de produtos de investimento, se a situação não for adequadamente administrada</w:t>
      </w:r>
    </w:p>
    <w:p w14:paraId="3C1E72E0" w14:textId="1BBD06F5" w:rsidR="00F467D2" w:rsidRDefault="00F467D2" w:rsidP="00F467D2">
      <w:r>
        <w:t xml:space="preserve">O Front Running diferencia-se do Insider Trading pelo fato de poder ser cometido independente do operador saber a motivação de uma operação. </w:t>
      </w:r>
    </w:p>
    <w:p w14:paraId="06583C42" w14:textId="12AB6E16" w:rsidR="00F467D2" w:rsidRDefault="00F467D2" w:rsidP="00F467D2">
      <w:r>
        <w:t>A pena pelo uso indevido de Informação Privilegiada é reclusão, de 1 ano a 5 anos, e multa de até 3 vezes o montante de vantagem ilícita obtida pela prática ilegal. (Fonte: Lei 6385/79, art. 27-c)</w:t>
      </w:r>
    </w:p>
    <w:p w14:paraId="55AB0547" w14:textId="1D97A65D" w:rsidR="00F467D2" w:rsidRDefault="00F467D2" w:rsidP="00F467D2">
      <w:r>
        <w:rPr>
          <w:noProof/>
        </w:rPr>
        <w:drawing>
          <wp:inline distT="0" distB="0" distL="0" distR="0" wp14:anchorId="20CF0862" wp14:editId="49DAA8C9">
            <wp:extent cx="5400040" cy="3180715"/>
            <wp:effectExtent l="0" t="0" r="0" b="63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3180715"/>
                    </a:xfrm>
                    <a:prstGeom prst="rect">
                      <a:avLst/>
                    </a:prstGeom>
                    <a:noFill/>
                    <a:ln>
                      <a:noFill/>
                    </a:ln>
                  </pic:spPr>
                </pic:pic>
              </a:graphicData>
            </a:graphic>
          </wp:inline>
        </w:drawing>
      </w:r>
    </w:p>
    <w:p w14:paraId="5DD5FCE0" w14:textId="1903385E" w:rsidR="00F467D2" w:rsidRDefault="00F467D2" w:rsidP="00F467D2">
      <w:r w:rsidRPr="00F467D2">
        <w:t>Confidencialidade e os Conflitos de Interesse</w:t>
      </w:r>
    </w:p>
    <w:p w14:paraId="477FC5CA" w14:textId="7CB4A3E5" w:rsidR="00F467D2" w:rsidRDefault="00F467D2" w:rsidP="00F467D2">
      <w:r>
        <w:t>CONFIDENCIALIDADE</w:t>
      </w:r>
    </w:p>
    <w:p w14:paraId="559A6FAB" w14:textId="45E85293" w:rsidR="00F467D2" w:rsidRDefault="00F467D2" w:rsidP="00F467D2">
      <w:r>
        <w:t>A confidencialidade e conflito de interesse está relacionada com as normas de condutas e éticas que cada Instituição Financeira deve estabelecer.</w:t>
      </w:r>
    </w:p>
    <w:p w14:paraId="3A24C1BA" w14:textId="0F4E3232" w:rsidR="00F467D2" w:rsidRDefault="00F467D2" w:rsidP="00F467D2">
      <w:r>
        <w:t>O Princípio da Confidencialidade para profissionais do mercado financeiro exige do profissional de finanças a mais absoluta guarda e a proteção das informações dos clientes como se fossem suas.</w:t>
      </w:r>
    </w:p>
    <w:p w14:paraId="4E2BFB01" w14:textId="390087DF" w:rsidR="00F467D2" w:rsidRDefault="00F467D2" w:rsidP="00F467D2">
      <w:r>
        <w:t>Todos os colaboradores devem manter absoluto sigilo sobre as negociações realizadas, inclusive sobre informações relevantes.</w:t>
      </w:r>
    </w:p>
    <w:p w14:paraId="7AC72E02" w14:textId="5AF1F4EE" w:rsidR="00F467D2" w:rsidRDefault="00F467D2" w:rsidP="00F467D2">
      <w:r>
        <w:t>O profissional do mercado financeiro tem que tratar todas as informações do cliente como confidenciais.</w:t>
      </w:r>
    </w:p>
    <w:p w14:paraId="2BEB8A20" w14:textId="4D5898FD" w:rsidR="00F467D2" w:rsidRDefault="00F467D2" w:rsidP="00F467D2">
      <w:r>
        <w:t>Exceções:</w:t>
      </w:r>
    </w:p>
    <w:p w14:paraId="643064E9" w14:textId="51DAAE2B" w:rsidR="00F467D2" w:rsidRDefault="00F467D2" w:rsidP="00F467D2">
      <w:r>
        <w:lastRenderedPageBreak/>
        <w:t>Se a justiça requisitar dados para responder algum processo legal as informações deverão ser liberada. Aqui é irrelevante se o caso é de disputa civil, procedimentos criminais, lavagem de dinheiro ou outra finalidade qualquer;</w:t>
      </w:r>
    </w:p>
    <w:p w14:paraId="16DF0B1F" w14:textId="1769D345" w:rsidR="00F467D2" w:rsidRDefault="00F467D2" w:rsidP="00F467D2">
      <w:r>
        <w:t>Atendimento de obrigações com seu contratante;</w:t>
      </w:r>
    </w:p>
    <w:p w14:paraId="597F96ED" w14:textId="22970A10" w:rsidR="00F467D2" w:rsidRDefault="00F467D2" w:rsidP="00F467D2">
      <w:r>
        <w:t>Assessoria de colega da mesma instituição;</w:t>
      </w:r>
    </w:p>
    <w:p w14:paraId="0A83F77A" w14:textId="79613E11" w:rsidR="00F467D2" w:rsidRDefault="00F467D2" w:rsidP="00F467D2">
      <w:r>
        <w:t>Realização das operações por ordem do cliente</w:t>
      </w:r>
    </w:p>
    <w:p w14:paraId="04BAF7E6" w14:textId="13D1F99A" w:rsidR="00F467D2" w:rsidRDefault="00F467D2" w:rsidP="00F467D2">
      <w:r>
        <w:t>Defesa de acusações de conduta irregular.</w:t>
      </w:r>
    </w:p>
    <w:p w14:paraId="05C79AEA" w14:textId="6BE03805" w:rsidR="00F467D2" w:rsidRDefault="00F467D2" w:rsidP="00F467D2">
      <w:r>
        <w:t>CONFLITO DE INTERESSE</w:t>
      </w:r>
    </w:p>
    <w:p w14:paraId="60E14EDC" w14:textId="0B3E30BB" w:rsidR="00F467D2" w:rsidRDefault="00F467D2" w:rsidP="00F467D2">
      <w:r>
        <w:t>É caracterizado quando os interesses de um funcionário/colaborador são divergentes ou conflitantes com os interesses da Instituição Financeira.</w:t>
      </w:r>
    </w:p>
    <w:p w14:paraId="661C9E4A" w14:textId="2F8B3A09" w:rsidR="00F467D2" w:rsidRDefault="00F467D2" w:rsidP="00F467D2">
      <w:r>
        <w:t>Há conflito de interesse quando um indivíduo não é independente em relação a uma determinada situação.</w:t>
      </w:r>
    </w:p>
    <w:p w14:paraId="2B963901" w14:textId="64693D44" w:rsidR="00F467D2" w:rsidRDefault="00F467D2" w:rsidP="00F467D2">
      <w:r>
        <w:t>Para evitar a ocorrência, são criados os Controles Internos dentro das Instituições.</w:t>
      </w:r>
    </w:p>
    <w:p w14:paraId="34604FF1" w14:textId="5AFBB740" w:rsidR="00F467D2" w:rsidRDefault="00F467D2" w:rsidP="00F467D2">
      <w:r>
        <w:rPr>
          <w:noProof/>
        </w:rPr>
        <w:drawing>
          <wp:inline distT="0" distB="0" distL="0" distR="0" wp14:anchorId="4973A2D3" wp14:editId="37E0C6DE">
            <wp:extent cx="5400040" cy="243840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2438400"/>
                    </a:xfrm>
                    <a:prstGeom prst="rect">
                      <a:avLst/>
                    </a:prstGeom>
                    <a:noFill/>
                    <a:ln>
                      <a:noFill/>
                    </a:ln>
                  </pic:spPr>
                </pic:pic>
              </a:graphicData>
            </a:graphic>
          </wp:inline>
        </w:drawing>
      </w:r>
    </w:p>
    <w:p w14:paraId="05B1F90E" w14:textId="79342590" w:rsidR="00F467D2" w:rsidRPr="00C92A58" w:rsidRDefault="00145AA9" w:rsidP="00F467D2">
      <w:pPr>
        <w:rPr>
          <w:b/>
          <w:bCs/>
          <w:u w:val="single"/>
        </w:rPr>
      </w:pPr>
      <w:r w:rsidRPr="00C92A58">
        <w:rPr>
          <w:b/>
          <w:bCs/>
          <w:u w:val="single"/>
        </w:rPr>
        <w:t>Cod Melhores Praticas Distribuição de Prod Investimento -Introdução</w:t>
      </w:r>
    </w:p>
    <w:p w14:paraId="5E0875ED" w14:textId="0C8529CE" w:rsidR="00145AA9" w:rsidRDefault="00145AA9" w:rsidP="00145AA9">
      <w:r>
        <w:rPr>
          <w:rFonts w:ascii="Segoe UI Symbol" w:hAnsi="Segoe UI Symbol" w:cs="Segoe UI Symbol"/>
        </w:rPr>
        <w:t>⯀</w:t>
      </w:r>
      <w:r>
        <w:t xml:space="preserve">Os conteúdos do código de distribuição de produtos de investimento são tratados de forma “orgânica” durante os conteúdos para que não fique maçante; </w:t>
      </w:r>
    </w:p>
    <w:p w14:paraId="07CC0C68" w14:textId="2CD23F93" w:rsidR="00145AA9" w:rsidRDefault="00145AA9" w:rsidP="00145AA9">
      <w:r>
        <w:rPr>
          <w:rFonts w:ascii="Segoe UI Symbol" w:hAnsi="Segoe UI Symbol" w:cs="Segoe UI Symbol"/>
        </w:rPr>
        <w:t>⯀</w:t>
      </w:r>
      <w:r>
        <w:t xml:space="preserve"> Sobre o código de distribuição de produtos de investimento, o edital da prova traz: </w:t>
      </w:r>
    </w:p>
    <w:p w14:paraId="5EF70A23" w14:textId="0F64E5D8" w:rsidR="00145AA9" w:rsidRDefault="00145AA9" w:rsidP="00145AA9">
      <w:r>
        <w:rPr>
          <w:rFonts w:ascii="Segoe UI Symbol" w:hAnsi="Segoe UI Symbol" w:cs="Segoe UI Symbol"/>
        </w:rPr>
        <w:t>⯀</w:t>
      </w:r>
      <w:r>
        <w:t xml:space="preserve"> Definições (Cap I); </w:t>
      </w:r>
    </w:p>
    <w:p w14:paraId="0DB9906B" w14:textId="311BB7BF" w:rsidR="00145AA9" w:rsidRDefault="00145AA9" w:rsidP="00145AA9">
      <w:r>
        <w:rPr>
          <w:rFonts w:ascii="Segoe UI Symbol" w:hAnsi="Segoe UI Symbol" w:cs="Segoe UI Symbol"/>
        </w:rPr>
        <w:t>⯀</w:t>
      </w:r>
      <w:r>
        <w:t xml:space="preserve"> Objetivo e Abrangência (Cap. II); </w:t>
      </w:r>
    </w:p>
    <w:p w14:paraId="6F185CA1" w14:textId="18DDB569" w:rsidR="00145AA9" w:rsidRDefault="00145AA9" w:rsidP="00145AA9">
      <w:r>
        <w:rPr>
          <w:rFonts w:ascii="Segoe UI Symbol" w:hAnsi="Segoe UI Symbol" w:cs="Segoe UI Symbol"/>
        </w:rPr>
        <w:t>⯀</w:t>
      </w:r>
      <w:r>
        <w:t xml:space="preserve"> Princípios Gerais de Conduta (Cap. IV); </w:t>
      </w:r>
    </w:p>
    <w:p w14:paraId="53A9DD0C" w14:textId="4C1A898D" w:rsidR="00145AA9" w:rsidRDefault="00145AA9" w:rsidP="00145AA9">
      <w:r>
        <w:rPr>
          <w:rFonts w:ascii="Segoe UI Symbol" w:hAnsi="Segoe UI Symbol" w:cs="Segoe UI Symbol"/>
        </w:rPr>
        <w:t>⯀</w:t>
      </w:r>
      <w:r>
        <w:t xml:space="preserve"> Regras, Procedimentos e Controles  Cap. V); </w:t>
      </w:r>
    </w:p>
    <w:p w14:paraId="163678DA" w14:textId="421F76BA" w:rsidR="00145AA9" w:rsidRDefault="00145AA9" w:rsidP="00145AA9">
      <w:r>
        <w:t xml:space="preserve">    </w:t>
      </w:r>
      <w:r>
        <w:rPr>
          <w:rFonts w:ascii="Segoe UI Symbol" w:hAnsi="Segoe UI Symbol" w:cs="Segoe UI Symbol"/>
        </w:rPr>
        <w:t>⯀</w:t>
      </w:r>
      <w:r>
        <w:t>Segurança e Sigilo das Informações (Seção II);</w:t>
      </w:r>
    </w:p>
    <w:p w14:paraId="65DDD70F" w14:textId="024F954E" w:rsidR="00145AA9" w:rsidRDefault="00145AA9" w:rsidP="00145AA9">
      <w:r>
        <w:rPr>
          <w:rFonts w:ascii="Segoe UI Symbol" w:hAnsi="Segoe UI Symbol" w:cs="Segoe UI Symbol"/>
        </w:rPr>
        <w:t>⯀</w:t>
      </w:r>
      <w:r>
        <w:t xml:space="preserve"> Publicidade (Cap. VII): </w:t>
      </w:r>
    </w:p>
    <w:p w14:paraId="5D743B8A" w14:textId="1976EC2F" w:rsidR="00145AA9" w:rsidRDefault="00145AA9" w:rsidP="00145AA9">
      <w:r>
        <w:lastRenderedPageBreak/>
        <w:t xml:space="preserve">    </w:t>
      </w:r>
      <w:r>
        <w:rPr>
          <w:rFonts w:ascii="Segoe UI Symbol" w:hAnsi="Segoe UI Symbol" w:cs="Segoe UI Symbol"/>
        </w:rPr>
        <w:t>⯀</w:t>
      </w:r>
      <w:r>
        <w:t xml:space="preserve"> Material Publicitário (Seção II);</w:t>
      </w:r>
    </w:p>
    <w:p w14:paraId="33779DF6" w14:textId="63283B47" w:rsidR="00145AA9" w:rsidRDefault="00145AA9" w:rsidP="00145AA9">
      <w:r>
        <w:t xml:space="preserve">    </w:t>
      </w:r>
      <w:r>
        <w:rPr>
          <w:rFonts w:ascii="Segoe UI Symbol" w:hAnsi="Segoe UI Symbol" w:cs="Segoe UI Symbol"/>
        </w:rPr>
        <w:t>⯀</w:t>
      </w:r>
      <w:r>
        <w:t xml:space="preserve"> Material Técnico (Seção III);</w:t>
      </w:r>
    </w:p>
    <w:p w14:paraId="388EBE03" w14:textId="3EA1E057" w:rsidR="00145AA9" w:rsidRDefault="00145AA9" w:rsidP="00145AA9">
      <w:r>
        <w:t xml:space="preserve">    </w:t>
      </w:r>
      <w:r>
        <w:rPr>
          <w:rFonts w:ascii="Segoe UI Symbol" w:hAnsi="Segoe UI Symbol" w:cs="Segoe UI Symbol"/>
        </w:rPr>
        <w:t>⯀</w:t>
      </w:r>
      <w:r>
        <w:t xml:space="preserve"> Avisos Obrigatórios (Seção VI); </w:t>
      </w:r>
    </w:p>
    <w:p w14:paraId="741C4C56" w14:textId="6ABBB87F" w:rsidR="00145AA9" w:rsidRDefault="00145AA9" w:rsidP="00145AA9">
      <w:r>
        <w:rPr>
          <w:rFonts w:ascii="Segoe UI Symbol" w:hAnsi="Segoe UI Symbol" w:cs="Segoe UI Symbol"/>
        </w:rPr>
        <w:t>⯀</w:t>
      </w:r>
      <w:r>
        <w:t xml:space="preserve"> Regras Gerais (Cap. IX): </w:t>
      </w:r>
    </w:p>
    <w:p w14:paraId="0E5FC098" w14:textId="2EF7927E" w:rsidR="00145AA9" w:rsidRDefault="00145AA9" w:rsidP="00145AA9">
      <w:r>
        <w:t xml:space="preserve">    </w:t>
      </w:r>
      <w:r>
        <w:rPr>
          <w:rFonts w:ascii="Segoe UI Symbol" w:hAnsi="Segoe UI Symbol" w:cs="Segoe UI Symbol"/>
        </w:rPr>
        <w:t>⯀</w:t>
      </w:r>
      <w:r>
        <w:t xml:space="preserve"> Divulgação de Informações por meios eletrônicos (Seção I); </w:t>
      </w:r>
    </w:p>
    <w:p w14:paraId="765C4197" w14:textId="1001C537" w:rsidR="00145AA9" w:rsidRDefault="00145AA9" w:rsidP="00145AA9">
      <w:r>
        <w:t xml:space="preserve">    </w:t>
      </w:r>
      <w:r>
        <w:rPr>
          <w:rFonts w:ascii="Segoe UI Symbol" w:hAnsi="Segoe UI Symbol" w:cs="Segoe UI Symbol"/>
        </w:rPr>
        <w:t>⯀</w:t>
      </w:r>
      <w:r>
        <w:t xml:space="preserve">Conheça seu Cliente (Seção II);    </w:t>
      </w:r>
    </w:p>
    <w:p w14:paraId="48D72844" w14:textId="67004271" w:rsidR="00145AA9" w:rsidRDefault="00145AA9" w:rsidP="00145AA9">
      <w:r>
        <w:t xml:space="preserve">    </w:t>
      </w:r>
      <w:r>
        <w:rPr>
          <w:rFonts w:ascii="Segoe UI Symbol" w:hAnsi="Segoe UI Symbol" w:cs="Segoe UI Symbol"/>
        </w:rPr>
        <w:t>⯀</w:t>
      </w:r>
      <w:r>
        <w:t xml:space="preserve"> Suitability (Seção III); Selo Anbima </w:t>
      </w:r>
    </w:p>
    <w:p w14:paraId="41753905" w14:textId="6989D012" w:rsidR="00145AA9" w:rsidRDefault="00145AA9" w:rsidP="00145AA9">
      <w:r>
        <w:rPr>
          <w:rFonts w:ascii="Segoe UI Symbol" w:hAnsi="Segoe UI Symbol" w:cs="Segoe UI Symbol"/>
        </w:rPr>
        <w:t>⯀</w:t>
      </w:r>
      <w:r>
        <w:t xml:space="preserve">(Cap. XIII); Distribuição de Fundos de Investimento (Anexo I); </w:t>
      </w:r>
    </w:p>
    <w:p w14:paraId="6091F9AD" w14:textId="6BA18133" w:rsidR="00145AA9" w:rsidRDefault="00145AA9" w:rsidP="00145AA9">
      <w:r>
        <w:t xml:space="preserve">   </w:t>
      </w:r>
      <w:r>
        <w:rPr>
          <w:rFonts w:ascii="Segoe UI Symbol" w:hAnsi="Segoe UI Symbol" w:cs="Segoe UI Symbol"/>
        </w:rPr>
        <w:t>⯀</w:t>
      </w:r>
      <w:r>
        <w:t xml:space="preserve"> Distribuição (Capítulo I);</w:t>
      </w:r>
    </w:p>
    <w:p w14:paraId="2DE678AA" w14:textId="7DDA98EF" w:rsidR="00145AA9" w:rsidRDefault="00145AA9" w:rsidP="00145AA9">
      <w:r>
        <w:rPr>
          <w:noProof/>
        </w:rPr>
        <w:drawing>
          <wp:inline distT="0" distB="0" distL="0" distR="0" wp14:anchorId="25BD9299" wp14:editId="09A87983">
            <wp:extent cx="5400040" cy="381889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3818890"/>
                    </a:xfrm>
                    <a:prstGeom prst="rect">
                      <a:avLst/>
                    </a:prstGeom>
                    <a:noFill/>
                    <a:ln>
                      <a:noFill/>
                    </a:ln>
                  </pic:spPr>
                </pic:pic>
              </a:graphicData>
            </a:graphic>
          </wp:inline>
        </w:drawing>
      </w:r>
    </w:p>
    <w:p w14:paraId="462A026F" w14:textId="307FF152" w:rsidR="00145AA9" w:rsidRPr="00C92A58" w:rsidRDefault="00145AA9" w:rsidP="00145AA9">
      <w:pPr>
        <w:rPr>
          <w:b/>
          <w:bCs/>
          <w:u w:val="single"/>
        </w:rPr>
      </w:pPr>
      <w:r w:rsidRPr="00C92A58">
        <w:rPr>
          <w:b/>
          <w:bCs/>
          <w:u w:val="single"/>
        </w:rPr>
        <w:t xml:space="preserve">Cod Melhores Praticas Dis Prod Investimento </w:t>
      </w:r>
      <w:r w:rsidRPr="00C92A58">
        <w:rPr>
          <w:b/>
          <w:bCs/>
          <w:u w:val="single"/>
        </w:rPr>
        <w:t>–</w:t>
      </w:r>
      <w:r w:rsidRPr="00C92A58">
        <w:rPr>
          <w:b/>
          <w:bCs/>
          <w:u w:val="single"/>
        </w:rPr>
        <w:t xml:space="preserve"> Definições</w:t>
      </w:r>
    </w:p>
    <w:p w14:paraId="61177D68" w14:textId="799FDF4E" w:rsidR="00145AA9" w:rsidRDefault="00145AA9" w:rsidP="00145AA9">
      <w:r>
        <w:t>A ANBIMA, como dissemos no capítulo anterior, não tem força reguladora, isto é, não cria leis ou normas de mercado. No entanto, para seus associados ela cria procedimentos internos que visam melhorar a qualidade da informação prestada aos investidores e demais participantes do Mercado Financeiro e de capitais. Entre os códigos que a ANBIMA criou, vamos estudar somente os seguintes:</w:t>
      </w:r>
    </w:p>
    <w:p w14:paraId="5D32D9E5" w14:textId="77777777" w:rsidR="00145AA9" w:rsidRDefault="00145AA9" w:rsidP="00145AA9">
      <w:r>
        <w:t>Código de regulação e melhores práticas para o programa de certificação continuada;</w:t>
      </w:r>
    </w:p>
    <w:p w14:paraId="02DDFB3D" w14:textId="77777777" w:rsidR="00145AA9" w:rsidRDefault="00145AA9" w:rsidP="00145AA9">
      <w:r>
        <w:t>Código de regulação e melhores práticas de administração de recursos de terceiros;</w:t>
      </w:r>
    </w:p>
    <w:p w14:paraId="18FC0CDC" w14:textId="77777777" w:rsidR="00145AA9" w:rsidRDefault="00145AA9" w:rsidP="00145AA9">
      <w:r>
        <w:t>Código de regulação e melhores práticas para distribuição de produtos de investimentos;</w:t>
      </w:r>
    </w:p>
    <w:p w14:paraId="18860228" w14:textId="77777777" w:rsidR="00145AA9" w:rsidRDefault="00145AA9" w:rsidP="00145AA9">
      <w:r>
        <w:lastRenderedPageBreak/>
        <w:t>Código de regulação e melhores práticas para distribuição e aquisição de valores mobiliários.</w:t>
      </w:r>
    </w:p>
    <w:p w14:paraId="69D22DE8" w14:textId="493B0E49" w:rsidR="00145AA9" w:rsidRDefault="00145AA9" w:rsidP="00145AA9">
      <w:r>
        <w:t>Segundo o edital da prova, todos estes códigos deveriam ser abordados neste módulo, no entanto, para que seu aprendizado seja mais fluido, eu, intencionalmente, estou distribuindo esses códigos ao longo do curso.</w:t>
      </w:r>
    </w:p>
    <w:p w14:paraId="6703AD64" w14:textId="304103C9" w:rsidR="00145AA9" w:rsidRDefault="00145AA9" w:rsidP="00145AA9">
      <w:r>
        <w:t>Assim, os Códigos de Distribuição e Aquisição de Valores Mobiliários, bem como o Código  de Distribuição de Produtos de Investimentos, serão estudados no módulo 4. O Código de Administração de Recursos de Terceiros será estudado no módulo 5.</w:t>
      </w:r>
    </w:p>
    <w:p w14:paraId="41E052AC" w14:textId="3D3EE0C0" w:rsidR="00145AA9" w:rsidRDefault="00145AA9" w:rsidP="00145AA9">
      <w:r>
        <w:t>Isso porque vamos primeiro estudar os produtos para em seguida falarmos sobre os códi­gos que normatizam os produtos, combinado?</w:t>
      </w:r>
    </w:p>
    <w:p w14:paraId="21131881" w14:textId="0546BCE8" w:rsidR="00145AA9" w:rsidRDefault="00145AA9" w:rsidP="00145AA9">
      <w:r>
        <w:t>Agora vamos falar sobre o Código de Regulação e Melhores Práticas para o Programa de Certificação Continuada.</w:t>
      </w:r>
    </w:p>
    <w:p w14:paraId="05C9D6A5" w14:textId="273F5AFA" w:rsidR="00145AA9" w:rsidRPr="00C92A58" w:rsidRDefault="00145AA9" w:rsidP="00145AA9">
      <w:pPr>
        <w:rPr>
          <w:b/>
          <w:bCs/>
          <w:u w:val="single"/>
        </w:rPr>
      </w:pPr>
      <w:r w:rsidRPr="00C92A58">
        <w:rPr>
          <w:b/>
          <w:bCs/>
          <w:u w:val="single"/>
        </w:rPr>
        <w:t>Cod. Melhores Praticas Dis. Prod. Investimento - Objetivo e Abrangência</w:t>
      </w:r>
    </w:p>
    <w:p w14:paraId="742328BA" w14:textId="3E4DCC33" w:rsidR="00145AA9" w:rsidRDefault="00145AA9" w:rsidP="00145AA9">
      <w:r>
        <w:t>Art. 2º. O presente Código tem por objetivo estabelecer princípios e regras para a Distribuição de Produtos de Investimento visando promover, principalmente:</w:t>
      </w:r>
    </w:p>
    <w:p w14:paraId="027A1422" w14:textId="499F8A68" w:rsidR="00145AA9" w:rsidRDefault="00145AA9" w:rsidP="00145AA9">
      <w:r>
        <w:t>I. A manutenção dos mais elevados padrões éticos e a consagração da institucionalização de práticas equitativas no mercado financeiro e de capitais;</w:t>
      </w:r>
    </w:p>
    <w:p w14:paraId="14E7183C" w14:textId="088D955F" w:rsidR="00145AA9" w:rsidRDefault="00145AA9" w:rsidP="00145AA9">
      <w:r>
        <w:t>II. A concorrência leal;</w:t>
      </w:r>
    </w:p>
    <w:p w14:paraId="18E6EE6A" w14:textId="3AA80BF8" w:rsidR="00145AA9" w:rsidRDefault="00145AA9" w:rsidP="00145AA9">
      <w:r>
        <w:t>III. A padronização de seus procedimentos;</w:t>
      </w:r>
    </w:p>
    <w:p w14:paraId="513ACE64" w14:textId="5BDFF43F" w:rsidR="00145AA9" w:rsidRDefault="00145AA9" w:rsidP="00145AA9">
      <w:r>
        <w:t>IV. O estímulo ao adequado funcionamento da Distribuição de Produtos de Investimento;</w:t>
      </w:r>
    </w:p>
    <w:p w14:paraId="791340D7" w14:textId="39A9F5D8" w:rsidR="00145AA9" w:rsidRDefault="00145AA9" w:rsidP="00145AA9">
      <w:r>
        <w:t>V. A transparência no relacionamento com os investidores, de acordo com o canal utiliza- do e as características dos investimentos; e</w:t>
      </w:r>
    </w:p>
    <w:p w14:paraId="38CB6E15" w14:textId="48493AF5" w:rsidR="00145AA9" w:rsidRDefault="00145AA9" w:rsidP="00145AA9">
      <w:r>
        <w:t>VI. A qualificação das instituições e de seus profissionais envolvidos na Distribuição de Produtos de Investimento.</w:t>
      </w:r>
    </w:p>
    <w:p w14:paraId="293F13B3" w14:textId="3C679A87" w:rsidR="00145AA9" w:rsidRDefault="00145AA9" w:rsidP="00145AA9">
      <w:r>
        <w:t>§1º. Os Administradores Fiduciários e os Gestores de Recursos de Terceiros que, no exercício de suas atividades, estiverem distribuindo seus próprios Fundos de Investimento, nos termos permitidos pela Regulação da Comissão de Valores Mobiliários, estarão sujeitos às regras previstas neste Código, observado o parágrafo 3º do artigo 61 e o parágrafo 3º do artigo 68, ambos desse Código.</w:t>
      </w:r>
    </w:p>
    <w:p w14:paraId="79CC9E6D" w14:textId="6D9FF87E" w:rsidR="00145AA9" w:rsidRDefault="00145AA9" w:rsidP="00145AA9">
      <w:r>
        <w:t>§2º. A observância das normas deste Código é obrigatória para as Instituições Participantes quando do exercício da atividade de Distribuição de Produtos de Investimento.</w:t>
      </w:r>
    </w:p>
    <w:p w14:paraId="60D41AD8" w14:textId="2D0CF69B" w:rsidR="00145AA9" w:rsidRDefault="00145AA9" w:rsidP="00145AA9">
      <w:r>
        <w:t>§3º. As Instituições Participantes devem assegurar que o presente Código seja também observado por todos os integrantes de seu Conglomerado ou Grupo Econômico que estejam autorizados, no Brasil, a distribuírem Produtos de Investimento.</w:t>
      </w:r>
    </w:p>
    <w:p w14:paraId="4416AE21" w14:textId="77777777" w:rsidR="00145AA9" w:rsidRDefault="00145AA9" w:rsidP="00145AA9">
      <w:r>
        <w:t>§4º. A obrigação prevista no parágrafo acima não implica o reconhecimento, por parte das Instituições Participantes, da existência de qualquer modalidade de assunção, transferência de responsabilidade ou solidariedade entre esses integrantes, embora todas as referidas entidades estejam sujeitas às regras e princípios estabelecidos pelo presente Código.</w:t>
      </w:r>
    </w:p>
    <w:p w14:paraId="352303C7" w14:textId="77777777" w:rsidR="00145AA9" w:rsidRDefault="00145AA9" w:rsidP="00145AA9"/>
    <w:p w14:paraId="1AFD417D" w14:textId="655D6376" w:rsidR="00145AA9" w:rsidRDefault="00145AA9" w:rsidP="00145AA9">
      <w:r>
        <w:lastRenderedPageBreak/>
        <w:t>§5º. As Instituições Participantes estão dispensadas de observar o disposto neste Código na Distribuição de:</w:t>
      </w:r>
    </w:p>
    <w:p w14:paraId="487AF85F" w14:textId="4ABD86D3" w:rsidR="00145AA9" w:rsidRDefault="00145AA9" w:rsidP="00145AA9">
      <w:r>
        <w:t>I.       Produtos de investimento para:</w:t>
      </w:r>
    </w:p>
    <w:p w14:paraId="30FA056E" w14:textId="63EA2823" w:rsidR="00145AA9" w:rsidRDefault="00145AA9" w:rsidP="00145AA9">
      <w:r>
        <w:t>a.      União, Estados, Municípios e Distrito Federal, observado o parágrafo 6º deste artigo; e</w:t>
      </w:r>
    </w:p>
    <w:p w14:paraId="12D26AC5" w14:textId="2912BE9A" w:rsidR="00145AA9" w:rsidRDefault="00145AA9" w:rsidP="00145AA9">
      <w:r>
        <w:t>b.  Pessoa jurídica dos segmentos classificados como middle e corporate, segundo critérios estabelecidos pela própria Instituição Participante;</w:t>
      </w:r>
    </w:p>
    <w:p w14:paraId="75F31F68" w14:textId="4F26E566" w:rsidR="00145AA9" w:rsidRDefault="00145AA9" w:rsidP="00145AA9">
      <w:r>
        <w:t>II.     Caderneta de poupança, observado o parágrafo 1º do artigo 56 deste Código.</w:t>
      </w:r>
    </w:p>
    <w:p w14:paraId="6B42C6D8" w14:textId="223B5086" w:rsidR="00145AA9" w:rsidRDefault="00145AA9" w:rsidP="00145AA9">
      <w:r>
        <w:t>§6º. Os Regimes Próprios de Previdência Social (RPPS) não estão incluídos na dispensa de que trata o inciso I, alínea “a” do parágrafo acima.</w:t>
      </w:r>
    </w:p>
    <w:p w14:paraId="71657481" w14:textId="588CEFAF" w:rsidR="00145AA9" w:rsidRDefault="00145AA9" w:rsidP="00145AA9">
      <w:r>
        <w:t>Art. 4º. As Instituições Participantes submetidas à ação reguladora e fiscalizadora do Conselho Monetário Nacional, do Banco Central do Brasil e da Comissão de Valores Mobiliários, concordam, expressamente, que a atividade de Distribuição de Produtos de Investimento excede o limite de simples observância da Regulação que lhe é aplicável, devendo, dessa forma, submeter-se também aos procedimentos estabelecidos por este Código.</w:t>
      </w:r>
    </w:p>
    <w:p w14:paraId="4491FF23" w14:textId="31D3DF99" w:rsidR="00145AA9" w:rsidRDefault="00145AA9" w:rsidP="00145AA9">
      <w:r>
        <w:t>Parágrafo único. O presente Código não se sobrepõe à Regulação vigente, ainda que venham a ser editadas normas, após o início de sua vigência, que sejam contrárias às disposições ora trazidas, de maneira que deve ser desconsiderada, caso haja contradição entre as regras estabelecidas neste Código e a Regulação em vigor, a respectiva disposição deste Código, sem prejuízo das de- mais regras nele contidas.</w:t>
      </w:r>
    </w:p>
    <w:p w14:paraId="2835ADF3" w14:textId="3975D59A" w:rsidR="00145AA9" w:rsidRPr="00C92A58" w:rsidRDefault="00145AA9" w:rsidP="00145AA9">
      <w:pPr>
        <w:rPr>
          <w:b/>
          <w:bCs/>
          <w:u w:val="single"/>
        </w:rPr>
      </w:pPr>
      <w:r w:rsidRPr="00C92A58">
        <w:rPr>
          <w:b/>
          <w:bCs/>
          <w:u w:val="single"/>
        </w:rPr>
        <w:t>Cod. Melhores Praticas Dis. Prod. Investimento - Princípios Gerais de Conduta</w:t>
      </w:r>
    </w:p>
    <w:p w14:paraId="2CC02142" w14:textId="77777777" w:rsidR="00145AA9" w:rsidRDefault="00145AA9" w:rsidP="00145AA9">
      <w:r>
        <w:t>CAPÍTULO IV - PRINCÍPIOS GERAIS DE CONDUTA</w:t>
      </w:r>
    </w:p>
    <w:p w14:paraId="78AF8357" w14:textId="66B4F849" w:rsidR="00145AA9" w:rsidRDefault="00145AA9" w:rsidP="00145AA9">
      <w:r>
        <w:t>Art. 6º. As Instituições Participantes devem:</w:t>
      </w:r>
    </w:p>
    <w:p w14:paraId="61AA4BE5" w14:textId="30EB1999" w:rsidR="00145AA9" w:rsidRDefault="00145AA9" w:rsidP="00145AA9">
      <w:r>
        <w:t>I.    Exercer suas atividades com boa-fé, transparência, diligência e lealdade;</w:t>
      </w:r>
    </w:p>
    <w:p w14:paraId="5BF0CF12" w14:textId="79865155" w:rsidR="00145AA9" w:rsidRDefault="00145AA9" w:rsidP="00145AA9">
      <w:r>
        <w:t>II.    Cumprir todas as suas obrigações, devendo empregar, no exercício de suas atividades, o cuidado que toda pessoa prudente e diligente costuma dispensar à administração de seus próprios negócios, respondendo por quaisquer infrações ou irregularidades que venham a ser cometidas;</w:t>
      </w:r>
    </w:p>
    <w:p w14:paraId="2AAAC42D" w14:textId="3AD787ED" w:rsidR="00145AA9" w:rsidRDefault="00145AA9" w:rsidP="00145AA9">
      <w:r>
        <w:t>III.   Nortear a prestação das atividades pelos princípios da liberdade de iniciativa e da livre concorrência, evitando a adoção de práticas caracterizadoras de concorrência desleal e/ou de condições não equitativas, respeitando os princípios de livre negociação;</w:t>
      </w:r>
    </w:p>
    <w:p w14:paraId="264E18D9" w14:textId="4641D5D4" w:rsidR="00145AA9" w:rsidRDefault="00145AA9" w:rsidP="00145AA9">
      <w:r>
        <w:t>IV.  Evitar quaisquer práticas que infrinjam ou estejam em conflito com as regras e princípios contidos neste Código e na Regulação vigente;</w:t>
      </w:r>
    </w:p>
    <w:p w14:paraId="55FB400F" w14:textId="3CD7B8C1" w:rsidR="00145AA9" w:rsidRDefault="00145AA9" w:rsidP="00145AA9">
      <w:r>
        <w:t>V.   Adotar condutas compatíveis com os princípios de idoneidade moral e profissional;</w:t>
      </w:r>
    </w:p>
    <w:p w14:paraId="6C9E8B43" w14:textId="59F23B3F" w:rsidR="00145AA9" w:rsidRDefault="00145AA9" w:rsidP="00145AA9">
      <w:r>
        <w:t>VI.   Evitar práticas que possam vir a prejudicar a Distribuição de Produtos de Investimento, especialmente no que tange aos deveres e direitos relacionados às atribuições específicas de cada uma das Instituições Participantes estabelecidas em contratos, regulamentos, neste Código e na Regulação vigente;</w:t>
      </w:r>
    </w:p>
    <w:p w14:paraId="647E94A0" w14:textId="3ABF5A26" w:rsidR="00145AA9" w:rsidRDefault="00145AA9" w:rsidP="00145AA9">
      <w:r>
        <w:lastRenderedPageBreak/>
        <w:t>VII.  Envidar os melhores esforços para que todos os profissionais que desempenhem funções ligadas à Distribuição de Produtos de Investimento atuem com imparcialidade e conheçam o código de ética da Instituição Participante e as normas aplicáveis à sua atividade;</w:t>
      </w:r>
    </w:p>
    <w:p w14:paraId="38ACAC52" w14:textId="64A5767C" w:rsidR="00145AA9" w:rsidRDefault="00145AA9" w:rsidP="00145AA9">
      <w:r>
        <w:t>VIII.  Divulgar informações claras e inequívocas aos investidores acerca dos riscos e consequências que poderão advir dos Produtos de Investimento; e</w:t>
      </w:r>
    </w:p>
    <w:p w14:paraId="7D2193FE" w14:textId="232885E5" w:rsidR="00145AA9" w:rsidRDefault="00145AA9" w:rsidP="00145AA9">
      <w:r>
        <w:t>IX.   Identificar, administrar e mitigar eventuais conflitos de interesse que possam afetar a imparcialidade das pessoas que desempenhem funções ligadas à Distribuição de Produtos de Investimento.</w:t>
      </w:r>
    </w:p>
    <w:p w14:paraId="470EF3B8" w14:textId="370DB012" w:rsidR="00145AA9" w:rsidRDefault="00145AA9" w:rsidP="00145AA9">
      <w:r>
        <w:t>Art. 7º. São considerados descumprimentos às obrigações e princípios deste Código não apenas a inexistência ou insuficiência das regras e procedimentos aqui exigidos, mas também a sua não implementação ou implementação inadequada para os fins previstos neste Código</w:t>
      </w:r>
    </w:p>
    <w:p w14:paraId="1AFC26FF" w14:textId="5B4311C6" w:rsidR="00145AA9" w:rsidRDefault="00145AA9" w:rsidP="00145AA9">
      <w:r>
        <w:t>Parágrafo único. São evidências de implementação inadequada das regras e procedimentos estabelecidos neste Código:</w:t>
      </w:r>
    </w:p>
    <w:p w14:paraId="4105B7A9" w14:textId="6F318EE0" w:rsidR="00145AA9" w:rsidRDefault="00145AA9" w:rsidP="00145AA9">
      <w:r>
        <w:t>I.   A reiterada ocorrência de falhas, não sanadas nos prazos estabelecidos; e</w:t>
      </w:r>
    </w:p>
    <w:p w14:paraId="78904437" w14:textId="47A5F34B" w:rsidR="00145AA9" w:rsidRDefault="00145AA9" w:rsidP="00145AA9">
      <w:r>
        <w:t>II.  A ausência de mecanismo ou evidência que demonstre a aplicação dos procedimentos estabelecidos por este Código.</w:t>
      </w:r>
    </w:p>
    <w:p w14:paraId="447357DE" w14:textId="645C97E3" w:rsidR="00145AA9" w:rsidRPr="00214529" w:rsidRDefault="00145AA9" w:rsidP="00145AA9">
      <w:pPr>
        <w:rPr>
          <w:b/>
          <w:bCs/>
          <w:u w:val="single"/>
        </w:rPr>
      </w:pPr>
      <w:r w:rsidRPr="00214529">
        <w:rPr>
          <w:b/>
          <w:bCs/>
          <w:u w:val="single"/>
        </w:rPr>
        <w:t>Cod. Melhores Praticas Dis. Prod. Investimento - Regras Procedimentos e Controles</w:t>
      </w:r>
    </w:p>
    <w:p w14:paraId="774C0E24" w14:textId="7FD9414E" w:rsidR="00145AA9" w:rsidRDefault="00145AA9" w:rsidP="00145AA9">
      <w:r>
        <w:t>REGRAS, PROCEDIMENTOS E CONTROLES</w:t>
      </w:r>
    </w:p>
    <w:p w14:paraId="6FE81E48" w14:textId="590715B9" w:rsidR="00145AA9" w:rsidRDefault="00145AA9" w:rsidP="00145AA9">
      <w:r>
        <w:t>As Instituições Participantes devem garantir, por meio de controles internos adequados, o permanente atendimento ao disposto no código, às políticas e à Regulação vigente.</w:t>
      </w:r>
    </w:p>
    <w:p w14:paraId="15A547D4" w14:textId="4F302FE7" w:rsidR="00145AA9" w:rsidRDefault="00145AA9" w:rsidP="00145AA9">
      <w:r>
        <w:t>Para assegurar o cumprimento do código, as Instituições Participantes devem implementar e manter, em documento escrito, regras, procedimentos e controles que:</w:t>
      </w:r>
    </w:p>
    <w:p w14:paraId="11CE245F" w14:textId="25D7499F" w:rsidR="00145AA9" w:rsidRDefault="00145AA9" w:rsidP="00145AA9">
      <w:r>
        <w:t>I. Sejam efetivos e consistentes com a natureza, porte, estrutura e modelo de negó­cio das Instituições Participantes, assim como com a complexidade dos Produtos de Investimento distribuídos;</w:t>
      </w:r>
    </w:p>
    <w:p w14:paraId="7A8AC217" w14:textId="33FA568E" w:rsidR="00145AA9" w:rsidRDefault="00145AA9" w:rsidP="00145AA9">
      <w:r>
        <w:t>II. Sejam acessíveis a todos os seus profissionais, de forma a assegurar que os procedimentos e as responsabilidades atribuídas aos diversos níveis da organização sejam conhecidos;</w:t>
      </w:r>
    </w:p>
    <w:p w14:paraId="457ABF83" w14:textId="06AA9447" w:rsidR="00145AA9" w:rsidRDefault="00145AA9" w:rsidP="00145AA9">
      <w:r>
        <w:t>III. Possuam divisão clara das responsabilidades dos envolvidos na função de contro­les internos e na função de cumprimento das políticas, procedimentos, controles internos e regras estabelecidas pela Regulação vigente (“compliance”), da respon­sabilidade das demais áreas da instituição, de modo a evitar possíveis conflitos de interesses com as demais áreas;</w:t>
      </w:r>
    </w:p>
    <w:p w14:paraId="7313B036" w14:textId="51F80C3D" w:rsidR="00145AA9" w:rsidRDefault="00145AA9" w:rsidP="00145AA9">
      <w:r>
        <w:t xml:space="preserve">IV. Indiquem as medidas necessárias para garantir a independência e a adequada  autoridade aos responsáveis pela função de controles internos e de compliance na instituição.  </w:t>
      </w:r>
    </w:p>
    <w:p w14:paraId="451546F0" w14:textId="7B67A37E" w:rsidR="00145AA9" w:rsidRDefault="00145AA9" w:rsidP="00145AA9">
      <w:r>
        <w:t>As Instituições Participantes devem manter em sua estrutura área(s) que seja(m) respon­sável(is) por seus controles internos e compliance.</w:t>
      </w:r>
    </w:p>
    <w:p w14:paraId="66BBE684" w14:textId="6AA29CD6" w:rsidR="00145AA9" w:rsidRDefault="00145AA9" w:rsidP="00145AA9">
      <w:r>
        <w:t>Estas áreas devem:</w:t>
      </w:r>
    </w:p>
    <w:p w14:paraId="4C83166C" w14:textId="52B0FB39" w:rsidR="00145AA9" w:rsidRDefault="00145AA9" w:rsidP="00145AA9">
      <w:r>
        <w:t>I. Ter estrutura que seja compatível com a natureza, porte e modelo de negócio das Instituições Participantes, assim como com a complexidade dos Produtos de Investimentos distribuídos;</w:t>
      </w:r>
    </w:p>
    <w:p w14:paraId="0A63BB53" w14:textId="6C09E55C" w:rsidR="00145AA9" w:rsidRDefault="00145AA9" w:rsidP="00145AA9">
      <w:r>
        <w:lastRenderedPageBreak/>
        <w:t>II. Ser independente(s) e reportar-se ao diretor responsável pelos controles inter­nos e pelo Compliance;</w:t>
      </w:r>
    </w:p>
    <w:p w14:paraId="7DE0D021" w14:textId="76E5E187" w:rsidR="00145AA9" w:rsidRDefault="00145AA9" w:rsidP="00145AA9">
      <w:r>
        <w:t>III. Ter profissionais com qualificação técnica e experiência necessária para o exercício das atividades relacionadas à função de controles internos e de compliance;</w:t>
      </w:r>
    </w:p>
    <w:p w14:paraId="199583C1" w14:textId="7D27B208" w:rsidR="00145AA9" w:rsidRDefault="00145AA9" w:rsidP="00145AA9">
      <w:r>
        <w:t>IV. Ter comunicação direta com a diretoria, administradores e com o conselho de admi­nistração, se houver, para realizar relato dos resultados decorrentes das atividades relacionadas à função de controles internos e de Compliance, incluindo possíveis irregularidades ou falhas identificadas;</w:t>
      </w:r>
    </w:p>
    <w:p w14:paraId="17EC4833" w14:textId="77777777" w:rsidR="00145AA9" w:rsidRDefault="00145AA9" w:rsidP="00145AA9">
      <w:r>
        <w:t>V. Ter acesso regular a capacitação e treinamento;</w:t>
      </w:r>
    </w:p>
    <w:p w14:paraId="6AE518BC" w14:textId="77777777" w:rsidR="00145AA9" w:rsidRDefault="00145AA9" w:rsidP="00145AA9">
      <w:r>
        <w:t>VI. Ter autonomia e autoridade para questionar os riscos assumidos nas operações realizadas pela instituição.</w:t>
      </w:r>
    </w:p>
    <w:p w14:paraId="0E2954C4" w14:textId="77777777" w:rsidR="00145AA9" w:rsidRDefault="00145AA9" w:rsidP="00145AA9">
      <w:r>
        <w:t>A(s) funções desempenhadas pela(s) área(s) responsável(is) pelos controles internos e pelo Compliance pode(m) ser desempenhada(s) em conjunto, na mesma estrutura, ou por unidades específicas.</w:t>
      </w:r>
    </w:p>
    <w:p w14:paraId="5DCC2EAE" w14:textId="77777777" w:rsidR="00145AA9" w:rsidRDefault="00145AA9" w:rsidP="00145AA9">
      <w:r>
        <w:t>As Instituições Participantes devem atribuir a responsabilidade pelos controles internos e pelo compliance a um diretor estatutário ou equivalente, sendo vedada a atuação em funções relacionadas à administração de recursos de terceiros, à intermediação, distri­buição ou à consultoria de valores mobiliários, ou em qualquer atividade que limite a sua independência, na instituição, ou fora dela.</w:t>
      </w:r>
    </w:p>
    <w:p w14:paraId="4F3BBEA0" w14:textId="4CAB4B24" w:rsidR="00145AA9" w:rsidRDefault="00145AA9" w:rsidP="00145AA9">
      <w:r>
        <w:t>A Instituição Participante pode designar um único diretor responsável pelos controles internos e pelo compliance, ou pode indicar diretores específicos para cada função.</w:t>
      </w:r>
    </w:p>
    <w:p w14:paraId="626E7D04" w14:textId="1FE7E6B2" w:rsidR="00145AA9" w:rsidRPr="00214529" w:rsidRDefault="00214529" w:rsidP="00145AA9">
      <w:pPr>
        <w:rPr>
          <w:b/>
          <w:bCs/>
          <w:u w:val="single"/>
        </w:rPr>
      </w:pPr>
      <w:r w:rsidRPr="00214529">
        <w:rPr>
          <w:b/>
          <w:bCs/>
          <w:u w:val="single"/>
        </w:rPr>
        <w:t>Cod. Melhores Praticas Dis. Prod. Investimento - Segurança e Sigilo das Informações</w:t>
      </w:r>
    </w:p>
    <w:p w14:paraId="71D2791D" w14:textId="6A2F34EA" w:rsidR="00214529" w:rsidRDefault="00214529" w:rsidP="00214529">
      <w:r>
        <w:t>Seção II – Segurança e Sigilo das Informações</w:t>
      </w:r>
    </w:p>
    <w:p w14:paraId="0ADFEBA3" w14:textId="300DE387" w:rsidR="00214529" w:rsidRDefault="00214529" w:rsidP="00214529">
      <w:r>
        <w:t>Art. 11. As Instituições Participantes devem estabelecer mecanismos para:</w:t>
      </w:r>
    </w:p>
    <w:p w14:paraId="299E5BE1" w14:textId="1861CECA" w:rsidR="00214529" w:rsidRDefault="00214529" w:rsidP="00214529">
      <w:r>
        <w:t>I.  Propiciar o controle de informações confidenciais, reservadas ou privilegiadas a que tenham acesso os seus sócios, diretores, administradores, profissionais e terceiros contratados;</w:t>
      </w:r>
    </w:p>
    <w:p w14:paraId="5E99D0A3" w14:textId="55617F69" w:rsidR="00214529" w:rsidRDefault="00214529" w:rsidP="00214529">
      <w:r>
        <w:t>II.  Assegurar a existência de testes periódicos de segurança para os sistemas de informações, em especial para os mantidos em meio eletrônico; e</w:t>
      </w:r>
    </w:p>
    <w:p w14:paraId="070D5387" w14:textId="32CBF422" w:rsidR="00214529" w:rsidRDefault="00214529" w:rsidP="00214529">
      <w:r>
        <w:t>III.  Implantar e manter treinamento para os seus sócios, diretores, administradores e profissionais que tenham acesso a informações confidenciais, reservadas ou privilegiadas.</w:t>
      </w:r>
    </w:p>
    <w:p w14:paraId="254A0F74" w14:textId="77777777" w:rsidR="00214529" w:rsidRDefault="00214529" w:rsidP="00214529">
      <w:r>
        <w:t>Parágrafo único. As Instituições Participantes devem implementar e manter, em documento escrito, regras e procedimentos para assegurar o disposto no caput, incluindo, no mínimo:</w:t>
      </w:r>
    </w:p>
    <w:p w14:paraId="5EE92EC6" w14:textId="578F62BE" w:rsidR="00214529" w:rsidRDefault="00214529" w:rsidP="00214529">
      <w:r>
        <w:t>I.   Regras de acesso às informações confidenciais, reservadas ou privilegiadas, indicando como se dá o acesso e controle de pessoas autorizadas e não autorizadas a essas informações, inclusive nos casos de mudança de atividade dentro da mesma instituição ou desligamento do profissional;</w:t>
      </w:r>
    </w:p>
    <w:p w14:paraId="47CA61B6" w14:textId="1CE35061" w:rsidR="00214529" w:rsidRDefault="00214529" w:rsidP="00214529">
      <w:r>
        <w:t>II.    Regras específicas sobre proteção da base de dados e procedimentos internos para tratar casos de vazamento de informações confidenciais, reservadas ou privilegiadas, mesmo que oriundos de ações involuntárias; e</w:t>
      </w:r>
    </w:p>
    <w:p w14:paraId="1532458C" w14:textId="5B02FE51" w:rsidR="00214529" w:rsidRDefault="00214529" w:rsidP="00214529">
      <w:r>
        <w:lastRenderedPageBreak/>
        <w:t>III.   Regras de restrição ao uso de sistemas, acessos remotos e qualquer outro meio/veículo que contenham informações confidenciais, reservadas ou privilegiadas no exercício de suas atividades.</w:t>
      </w:r>
    </w:p>
    <w:p w14:paraId="34FD1C1C" w14:textId="53CF83E0" w:rsidR="00214529" w:rsidRDefault="00214529" w:rsidP="00214529">
      <w:r>
        <w:t>Art. 12. As Instituições Participantes devem exigir que seus profissionais assinem, de forma manual ou eletrônica, documento de confidencialidade sobre as informações confidenciais, reservadas ou privilegiadas que lhes tenham sido confiadas em virtude do exercício de suas atividades profissionais, excetuadas as hipóteses permitidas em lei.</w:t>
      </w:r>
    </w:p>
    <w:p w14:paraId="1E89F988" w14:textId="41D9B319" w:rsidR="00214529" w:rsidRDefault="00214529" w:rsidP="00214529">
      <w:r>
        <w:t>Parágrafo único. Os terceiros contratados que tiverem acesso às informações confidenciais, reservadas ou privilegiadas que lhes tenham sido confiadas no exercício de suas atividades devem assinar o documento previsto no caput, podendo tal documento ser excepcionado quando o contrato de prestação de serviço possuir cláusula de confidencialidade</w:t>
      </w:r>
      <w:r w:rsidR="00C92A58">
        <w:t>.</w:t>
      </w:r>
    </w:p>
    <w:p w14:paraId="25E2ACBC" w14:textId="72A7391C" w:rsidR="00B543D3" w:rsidRPr="00B543D3" w:rsidRDefault="00B543D3" w:rsidP="00B543D3">
      <w:pPr>
        <w:rPr>
          <w:b/>
          <w:bCs/>
          <w:u w:val="single"/>
        </w:rPr>
      </w:pPr>
      <w:r w:rsidRPr="00B543D3">
        <w:rPr>
          <w:b/>
          <w:bCs/>
          <w:u w:val="single"/>
        </w:rPr>
        <w:t>Cod. Melhores Praticas Dis. Prod. Investimento - Publicidade</w:t>
      </w:r>
    </w:p>
    <w:p w14:paraId="6943CB79" w14:textId="17855F57" w:rsidR="00B543D3" w:rsidRDefault="00B543D3" w:rsidP="00B543D3">
      <w:r>
        <w:t>Seção II – Material Publicitário</w:t>
      </w:r>
    </w:p>
    <w:p w14:paraId="3C81F3D3" w14:textId="5ED4747A" w:rsidR="00B543D3" w:rsidRDefault="00B543D3" w:rsidP="00B543D3">
      <w:r>
        <w:t>Art. 31. A Instituição Participante, ao divulgar Material Publicitário em qualquer meio de comuni- cação disponível, deve incluir, em destaque, link ou caminho direcionando investidores ou poten- ciais investidores ao Material Técnico sobre o(s) Produto(s) de Investimento mencionado(s), de modo que haja conhecimento de todas as informações, características e riscos do investimento.</w:t>
      </w:r>
    </w:p>
    <w:p w14:paraId="54B108FF" w14:textId="6D869379" w:rsidR="00B543D3" w:rsidRDefault="00B543D3" w:rsidP="00B543D3">
      <w:r>
        <w:t>§1º. A Instituição Participante e empresas do Conglomerado ou Grupo Econômico que fize- rem menção de seus Produtos de Investimento nos Materiais Publicitários de forma geral e não específica, devem incluir link ou caminho que direcione os investidores ou potenciais investidores para o site da instituição.</w:t>
      </w:r>
    </w:p>
    <w:p w14:paraId="39E4FE26" w14:textId="14A7341A" w:rsidR="00B543D3" w:rsidRDefault="00B543D3" w:rsidP="00B543D3">
      <w:r>
        <w:t>§2º. A Instituição Participante deve incluir, quando da divulgação de rentabilidade do Pro- duto de Investimento em Material Publicitário, o nome do emissor e a carência, se houver.</w:t>
      </w:r>
    </w:p>
    <w:p w14:paraId="3853F2EC" w14:textId="2BD139E8" w:rsidR="00B543D3" w:rsidRDefault="00B543D3" w:rsidP="00B543D3">
      <w:r>
        <w:t>Seção III – Material Técnico</w:t>
      </w:r>
    </w:p>
    <w:p w14:paraId="66E504BE" w14:textId="1FD7908D" w:rsidR="00B543D3" w:rsidRDefault="00B543D3" w:rsidP="00B543D3">
      <w:r>
        <w:t>Art. 32. O Material Técnico deve possuir, no mínimo, as seguintes informações sobre o Produto de Investimento:</w:t>
      </w:r>
    </w:p>
    <w:p w14:paraId="788AB6A4" w14:textId="32090A29" w:rsidR="00B543D3" w:rsidRDefault="00B543D3" w:rsidP="00B543D3">
      <w:r>
        <w:t>I. Descrição do objetivo e/ou estratégia;</w:t>
      </w:r>
    </w:p>
    <w:p w14:paraId="7C8D984D" w14:textId="77777777" w:rsidR="00B543D3" w:rsidRDefault="00B543D3" w:rsidP="00B543D3">
      <w:r>
        <w:t>II.  Público-alvo, quando destinado a investidores específicos;</w:t>
      </w:r>
    </w:p>
    <w:p w14:paraId="6C9CB953" w14:textId="6D7163A8" w:rsidR="00B543D3" w:rsidRDefault="00B543D3" w:rsidP="00B543D3">
      <w:r>
        <w:t>III. Carência para resgate e prazo de operação;</w:t>
      </w:r>
    </w:p>
    <w:p w14:paraId="3B24B69E" w14:textId="6F781959" w:rsidR="00B543D3" w:rsidRDefault="00B543D3" w:rsidP="00B543D3">
      <w:r>
        <w:t>IV. Tributação aplicável;</w:t>
      </w:r>
    </w:p>
    <w:p w14:paraId="385C3DE9" w14:textId="0CF6B485" w:rsidR="00B543D3" w:rsidRDefault="00B543D3" w:rsidP="00B543D3">
      <w:r>
        <w:t>V.  Informações sobre os canais de atendimento;</w:t>
      </w:r>
    </w:p>
    <w:p w14:paraId="6C96BBC8" w14:textId="0240D9F8" w:rsidR="00B543D3" w:rsidRDefault="00B543D3" w:rsidP="00B543D3">
      <w:r>
        <w:t>VI.  Nome do emissor, quando aplicável;</w:t>
      </w:r>
    </w:p>
    <w:p w14:paraId="65F9C305" w14:textId="301DCCA6" w:rsidR="00B543D3" w:rsidRDefault="00B543D3" w:rsidP="00B543D3">
      <w:r>
        <w:t>VII. Classificação do Produto de Investimento, nos termos do artigo 49 deste Código; e</w:t>
      </w:r>
    </w:p>
    <w:p w14:paraId="6A0E09F9" w14:textId="49FAA877" w:rsidR="00B543D3" w:rsidRDefault="00B543D3" w:rsidP="00B543D3">
      <w:r>
        <w:t>VIII. Descrição resumida dos principais fatores de risco, incluindo, no mínimo, os riscos de liquidez, de mercado e de crédito, quando aplicável.</w:t>
      </w:r>
    </w:p>
    <w:p w14:paraId="57B89FD8" w14:textId="1446E355" w:rsidR="00C92A58" w:rsidRDefault="00B543D3" w:rsidP="00B543D3">
      <w:r>
        <w:lastRenderedPageBreak/>
        <w:t>Parágrafo único. Nas agências e dependências da Instituição Participante, devem-se manter à disposição dos interessados, seja por meio impresso ou passível de impressão, as informações atualizadas previstas no caput para cada Produto de Investimento distribuído nesses locais.</w:t>
      </w:r>
    </w:p>
    <w:p w14:paraId="7E8BE69A" w14:textId="734EF287" w:rsidR="00B543D3" w:rsidRDefault="008A61FF" w:rsidP="00B543D3">
      <w:pPr>
        <w:rPr>
          <w:b/>
          <w:bCs/>
          <w:u w:val="single"/>
        </w:rPr>
      </w:pPr>
      <w:r w:rsidRPr="008A61FF">
        <w:rPr>
          <w:b/>
          <w:bCs/>
          <w:u w:val="single"/>
        </w:rPr>
        <w:t>Cod. Melhores Praticas Dis. Prod. Investimento - Material Publicitário e Material Técnico</w:t>
      </w:r>
    </w:p>
    <w:p w14:paraId="3067305C" w14:textId="018C0289" w:rsidR="008A61FF" w:rsidRDefault="008A61FF" w:rsidP="008A61FF">
      <w:r>
        <w:t>MATERIAL PUBLICITÁRIO</w:t>
      </w:r>
    </w:p>
    <w:p w14:paraId="684AF8EC" w14:textId="5E551824" w:rsidR="008A61FF" w:rsidRDefault="008A61FF" w:rsidP="008A61FF">
      <w:r>
        <w:t>A Instituição Participante, ao divulgar Material Publicitário em qualquer meio de comu­nicação disponível, deve incluir, em destaque, link ou caminho direcionando investido­res ou potenciais investidores ao Material Técnico sobre o(s) Produto(s) de Investimento mencionado(s), de modo que haja conhecimento de todas as informações, características e riscos do investimento.</w:t>
      </w:r>
    </w:p>
    <w:p w14:paraId="6B467ABA" w14:textId="3DD98F23" w:rsidR="008A61FF" w:rsidRDefault="008A61FF" w:rsidP="008A61FF">
      <w:r>
        <w:t>A Instituição Participante e empresas do Conglomerado ou Grupo Econômico que fizerem menção de seus Produtos de Investimento nos Materiais Publicitários de forma geral e não específica, devem incluir link ou caminho que direcione os investidores ou potenciais investidores para o site da instituição.</w:t>
      </w:r>
    </w:p>
    <w:p w14:paraId="4E215D2B" w14:textId="6B6FDF61" w:rsidR="008A61FF" w:rsidRDefault="008A61FF" w:rsidP="008A61FF">
      <w:r>
        <w:t>A Instituição Participante deve incluir, quando da divulgação de rentabilidade do Produto de Investimento em Material Publicitário, o nome do emissor e a carência, se houver.</w:t>
      </w:r>
    </w:p>
    <w:p w14:paraId="2B0F6530" w14:textId="7F25E284" w:rsidR="008A61FF" w:rsidRDefault="008A61FF" w:rsidP="008A61FF">
      <w:r>
        <w:t>MATERIAL TECNICO</w:t>
      </w:r>
    </w:p>
    <w:p w14:paraId="6FF120C2" w14:textId="572D47BC" w:rsidR="008A61FF" w:rsidRDefault="008A61FF" w:rsidP="008A61FF">
      <w:r>
        <w:t>O Material Técnico deve possuir, no mínimo, as seguintes informações sobre o Produto de Investimento:</w:t>
      </w:r>
    </w:p>
    <w:p w14:paraId="00F68FFF" w14:textId="6FB6E99E" w:rsidR="008A61FF" w:rsidRDefault="008A61FF" w:rsidP="008A61FF">
      <w:r>
        <w:t>I. Descrição do objetivo e/ou estratégia;</w:t>
      </w:r>
    </w:p>
    <w:p w14:paraId="05A09146" w14:textId="1B42E0CD" w:rsidR="008A61FF" w:rsidRDefault="008A61FF" w:rsidP="008A61FF">
      <w:r>
        <w:t>II. Público-alvo, quando destinado a investidores específicos;</w:t>
      </w:r>
    </w:p>
    <w:p w14:paraId="06FF245C" w14:textId="4DF9991B" w:rsidR="008A61FF" w:rsidRDefault="008A61FF" w:rsidP="008A61FF">
      <w:r>
        <w:t>III. Carência para resgate e prazo de operação;</w:t>
      </w:r>
    </w:p>
    <w:p w14:paraId="1BAA4762" w14:textId="76B662CF" w:rsidR="008A61FF" w:rsidRDefault="008A61FF" w:rsidP="008A61FF">
      <w:r>
        <w:t>IV. Tributação aplicável;</w:t>
      </w:r>
    </w:p>
    <w:p w14:paraId="6DC2FC12" w14:textId="7B738F06" w:rsidR="008A61FF" w:rsidRDefault="008A61FF" w:rsidP="008A61FF">
      <w:r>
        <w:t>V. Informações sobre os canais de atendimento;</w:t>
      </w:r>
    </w:p>
    <w:p w14:paraId="6A3ED2D6" w14:textId="217092A4" w:rsidR="008A61FF" w:rsidRDefault="008A61FF" w:rsidP="008A61FF">
      <w:r>
        <w:t>VI. Nome do emissor, quando aplicável;</w:t>
      </w:r>
    </w:p>
    <w:p w14:paraId="24D22BD5" w14:textId="49F39A3A" w:rsidR="008A61FF" w:rsidRDefault="008A61FF" w:rsidP="008A61FF">
      <w:r>
        <w:t>VII. Classificação do Produto de Investimento;</w:t>
      </w:r>
    </w:p>
    <w:p w14:paraId="419F8BF9" w14:textId="72232948" w:rsidR="008A61FF" w:rsidRDefault="008A61FF" w:rsidP="008A61FF">
      <w:r>
        <w:t>VIII. Descrição resumida dos principais fatores de risco, incluindo, no mínimo, os riscos de liquidez, de mercado e de crédito, quando aplicável.</w:t>
      </w:r>
    </w:p>
    <w:p w14:paraId="36BB124A" w14:textId="7349F2FF" w:rsidR="008A61FF" w:rsidRDefault="008A61FF" w:rsidP="008A61FF">
      <w:r>
        <w:t>Nas agências e dependências da Instituição Participante, devem-se manter à disposição dos interessados, seja por meio impresso ou passível de impressão, as informações atualizadas previstas no item anterior para cada Produto de Investimento distribuído nesses locais.</w:t>
      </w:r>
    </w:p>
    <w:p w14:paraId="76FC0770" w14:textId="1FC77905" w:rsidR="008A61FF" w:rsidRDefault="008A61FF" w:rsidP="008A61FF">
      <w:pPr>
        <w:rPr>
          <w:b/>
          <w:bCs/>
          <w:u w:val="single"/>
        </w:rPr>
      </w:pPr>
      <w:r w:rsidRPr="008A61FF">
        <w:rPr>
          <w:b/>
          <w:bCs/>
          <w:u w:val="single"/>
        </w:rPr>
        <w:t>Cod. Melhores Praticas Dis. Prod. Investimento - Avisos Obrigatórios e Regras Gerais</w:t>
      </w:r>
    </w:p>
    <w:p w14:paraId="6AD2AC8C" w14:textId="7F0E6ADF" w:rsidR="008A61FF" w:rsidRPr="008A61FF" w:rsidRDefault="008A61FF" w:rsidP="008A61FF">
      <w:r w:rsidRPr="008A61FF">
        <w:t>SEÇÃO VI – AVISOS OBRIGATÓRIOS</w:t>
      </w:r>
    </w:p>
    <w:p w14:paraId="2F325798" w14:textId="77777777" w:rsidR="008A61FF" w:rsidRPr="008A61FF" w:rsidRDefault="008A61FF" w:rsidP="008A61FF">
      <w:r w:rsidRPr="008A61FF">
        <w:t>Art. 38. As Instituições Participantes devem incluir, com destaque, nos Materiais Técnicos os se- guintes avisos obrigatórios:</w:t>
      </w:r>
    </w:p>
    <w:p w14:paraId="395728E0" w14:textId="77777777" w:rsidR="008A61FF" w:rsidRPr="008A61FF" w:rsidRDefault="008A61FF" w:rsidP="008A61FF"/>
    <w:p w14:paraId="1670E3A5" w14:textId="766AECE1" w:rsidR="008A61FF" w:rsidRPr="008A61FF" w:rsidRDefault="008A61FF" w:rsidP="008A61FF">
      <w:r w:rsidRPr="008A61FF">
        <w:lastRenderedPageBreak/>
        <w:t>I. Caso faça referência a histórico de rentabilidade ou menção a performance:</w:t>
      </w:r>
    </w:p>
    <w:p w14:paraId="5A3F017B" w14:textId="4F2C6D53" w:rsidR="008A61FF" w:rsidRPr="008A61FF" w:rsidRDefault="008A61FF" w:rsidP="008A61FF">
      <w:r w:rsidRPr="008A61FF">
        <w:t>a.  “Rentabilidade obtida no passado não representa garantia de resultados futuros. ”; e</w:t>
      </w:r>
    </w:p>
    <w:p w14:paraId="392EEE2C" w14:textId="6FD811B6" w:rsidR="008A61FF" w:rsidRPr="008A61FF" w:rsidRDefault="008A61FF" w:rsidP="008A61FF">
      <w:r w:rsidRPr="008A61FF">
        <w:t>b. “A rentabilidade divulgada não é líquida de impostos. ”;</w:t>
      </w:r>
    </w:p>
    <w:p w14:paraId="6DE5659C" w14:textId="4D592472" w:rsidR="008A61FF" w:rsidRPr="008A61FF" w:rsidRDefault="008A61FF" w:rsidP="008A61FF">
      <w:r w:rsidRPr="008A61FF">
        <w:t>II. Caso faça referência a Produtos de Investimento que não possuam garantia do fundo garantidor de crédito: “O investimento em [indicar produto de investimento] não é ga- rantido pelo Fundo Garantidor de Crédito. ”;</w:t>
      </w:r>
    </w:p>
    <w:p w14:paraId="5DFC2891" w14:textId="4E206F42" w:rsidR="008A61FF" w:rsidRPr="008A61FF" w:rsidRDefault="008A61FF" w:rsidP="008A61FF">
      <w:r w:rsidRPr="008A61FF">
        <w:t>III. Caso faça referência à simulação de rentabilidade: “As informações presentes neste material técnico são baseadas em simulações e os resultados reais poderão ser signifi- cativamente diferentes. ”</w:t>
      </w:r>
    </w:p>
    <w:p w14:paraId="653FE4B8" w14:textId="438E88BC" w:rsidR="008A61FF" w:rsidRPr="008A61FF" w:rsidRDefault="008A61FF" w:rsidP="008A61FF">
      <w:r w:rsidRPr="008A61FF">
        <w:t>Parágrafo único. No uso de mídia impressa e por meios digitais escritos, o tamanho do texto e a localização dos avisos e informações devem permitir sua clara leitura e compreensão.</w:t>
      </w:r>
    </w:p>
    <w:p w14:paraId="40B81B99" w14:textId="36ADC5EB" w:rsidR="008A61FF" w:rsidRPr="008A61FF" w:rsidRDefault="008A61FF" w:rsidP="008A61FF">
      <w:r w:rsidRPr="008A61FF">
        <w:t>CAPÍTULO IX – REGRAS GERAIS</w:t>
      </w:r>
    </w:p>
    <w:p w14:paraId="28141F8E" w14:textId="7860DA90" w:rsidR="008A61FF" w:rsidRPr="008A61FF" w:rsidRDefault="008A61FF" w:rsidP="008A61FF">
      <w:r w:rsidRPr="008A61FF">
        <w:t>Art. 39. As Instituições Participantes devem atribuir a responsabilidade pela Distribuição de Produ- tos de Investimento a um diretor estatutário ou equivalente, ressalvado o disposto no artigo 10 deste Código.</w:t>
      </w:r>
    </w:p>
    <w:p w14:paraId="427A7A46" w14:textId="5D4B463C" w:rsidR="008A61FF" w:rsidRDefault="008A61FF" w:rsidP="008A61FF">
      <w:r w:rsidRPr="008A61FF">
        <w:t>Art. 40. As Instituições Participantes quando estiverem prestando informações ou recomendando Produtos de Investimento, não podem induzir os investidores a erro ao dar a entender que atuam como prestadores de serviço de consultoria independente de valores mobiliários de forma autônoma à atividade de Distribuição de Produtos de Investiment</w:t>
      </w:r>
      <w:r>
        <w:t>o.</w:t>
      </w:r>
    </w:p>
    <w:p w14:paraId="2BD258E5" w14:textId="0E3D1005" w:rsidR="008A61FF" w:rsidRPr="008A61FF" w:rsidRDefault="008A61FF" w:rsidP="008A61FF">
      <w:pPr>
        <w:rPr>
          <w:b/>
          <w:bCs/>
          <w:u w:val="single"/>
        </w:rPr>
      </w:pPr>
      <w:r w:rsidRPr="008A61FF">
        <w:rPr>
          <w:b/>
          <w:bCs/>
          <w:u w:val="single"/>
        </w:rPr>
        <w:t>Cod Melhores Praticas Dis Prod Investimento - Divulgação de Informações por Meios Eletrônicos e KYC</w:t>
      </w:r>
    </w:p>
    <w:p w14:paraId="18B302BC" w14:textId="067B60A4" w:rsidR="008A61FF" w:rsidRDefault="008A61FF" w:rsidP="008A61FF">
      <w:r>
        <w:t>SEÇÃO I – DIVULGAÇÃO DE INFORMAÇÕES POR MEIOS ELETRÔNICOS</w:t>
      </w:r>
    </w:p>
    <w:p w14:paraId="15D64A96" w14:textId="62342BA6" w:rsidR="008A61FF" w:rsidRDefault="008A61FF" w:rsidP="008A61FF">
      <w:r>
        <w:t>Art. 41. As Instituições Participantes devem disponibilizar seção exclusiva em seus sites na internet sobre os Produtos de Investimento distribuídos, contendo, no mínimo, as seguintes informações:</w:t>
      </w:r>
    </w:p>
    <w:p w14:paraId="416C590A" w14:textId="436DB136" w:rsidR="008A61FF" w:rsidRDefault="008A61FF" w:rsidP="008A61FF">
      <w:r>
        <w:t>I. Descrição do objetivo e/ou estratégia de investimento;</w:t>
      </w:r>
    </w:p>
    <w:p w14:paraId="52FBED82" w14:textId="54D67C5C" w:rsidR="008A61FF" w:rsidRDefault="008A61FF" w:rsidP="008A61FF">
      <w:r>
        <w:t>II. Público-alvo, quando destinado a investidores específicos;</w:t>
      </w:r>
    </w:p>
    <w:p w14:paraId="3C68C5E2" w14:textId="6048684F" w:rsidR="008A61FF" w:rsidRDefault="008A61FF" w:rsidP="008A61FF">
      <w:r>
        <w:t>III. Carência para resgate e prazo de operação;</w:t>
      </w:r>
    </w:p>
    <w:p w14:paraId="29807FD5" w14:textId="45AB8635" w:rsidR="008A61FF" w:rsidRDefault="008A61FF" w:rsidP="008A61FF">
      <w:r>
        <w:t>IV. Nome do emissor, quando aplicável;</w:t>
      </w:r>
    </w:p>
    <w:p w14:paraId="41B4DD6E" w14:textId="77777777" w:rsidR="008A61FF" w:rsidRDefault="008A61FF" w:rsidP="008A61FF">
      <w:r>
        <w:t>V. Tributação aplicável;</w:t>
      </w:r>
    </w:p>
    <w:p w14:paraId="1F5C677F" w14:textId="716EE09B" w:rsidR="008A61FF" w:rsidRDefault="008A61FF" w:rsidP="008A61FF">
      <w:r>
        <w:t>VI. Classificação do Produto de Investimento, nos termos estabelecidos pelo artigo 49 des- te Código;</w:t>
      </w:r>
    </w:p>
    <w:p w14:paraId="60EA6E52" w14:textId="5D43144E" w:rsidR="008A61FF" w:rsidRDefault="008A61FF" w:rsidP="008A61FF">
      <w:r>
        <w:t>VII. Descrição resumida dos principais fatores de risco, incluindo, no mínimo, os riscos de liquidez, de mercado e de crédito, quando aplicável; e</w:t>
      </w:r>
    </w:p>
    <w:p w14:paraId="6C9F3D12" w14:textId="691ECA48" w:rsidR="008A61FF" w:rsidRDefault="008A61FF" w:rsidP="008A61FF">
      <w:r>
        <w:t>VIII. Informações sobre os canais de atendimento.</w:t>
      </w:r>
    </w:p>
    <w:p w14:paraId="1E19F3A3" w14:textId="5F340132" w:rsidR="008A61FF" w:rsidRDefault="008A61FF" w:rsidP="008A61FF">
      <w:r>
        <w:lastRenderedPageBreak/>
        <w:t>Parágrafo único. As Instituições Participantes, quando da divulgação de informações dos Fun- dos de Investimento nos sites na internet, devem observar, além do previsto no caput, o disposto do artigo 2º do anexo I deste Código.</w:t>
      </w:r>
    </w:p>
    <w:p w14:paraId="5BAB3538" w14:textId="76A62706" w:rsidR="008A61FF" w:rsidRDefault="008A61FF" w:rsidP="008A61FF">
      <w:r>
        <w:t>Art. 42. As Instituições Participantes devem possuir canais de atendimento compatíveis com seu porte e número de investidores para esclarecimento de dúvidas e recebimento de reclamações.</w:t>
      </w:r>
    </w:p>
    <w:p w14:paraId="035F01D2" w14:textId="36019B0E" w:rsidR="008A61FF" w:rsidRDefault="008A61FF" w:rsidP="008A61FF">
      <w:r>
        <w:t>SEÇÃO II - CONHEÇA SEU CLIENTE</w:t>
      </w:r>
    </w:p>
    <w:p w14:paraId="0F3D6C47" w14:textId="3B1F2CAC" w:rsidR="008A61FF" w:rsidRDefault="008A61FF" w:rsidP="008A61FF">
      <w:r>
        <w:t>Art. 43. As Instituições Participantes devem, no seu processo de Conheça seu Cliente, buscar co- nhecer seus investidores no início do relacionamento e durante o processo cadastral, identificando a necessidade de visitas pessoais em suas residências, seus locais de trabalho e em suas insta- lações comerciais.</w:t>
      </w:r>
    </w:p>
    <w:p w14:paraId="4E070903" w14:textId="0252BCBC" w:rsidR="008A61FF" w:rsidRDefault="008A61FF" w:rsidP="008A61FF">
      <w:r>
        <w:t>§1º. As Instituições Participantes devem implementar e manter, em documento escrito, re- gras e procedimentos que descrevam o processo de Conheça seu Cliente adotado pela instituição.</w:t>
      </w:r>
    </w:p>
    <w:p w14:paraId="16C84E7F" w14:textId="1FF7D929" w:rsidR="008A61FF" w:rsidRDefault="008A61FF" w:rsidP="008A61FF">
      <w:r>
        <w:t>§2º. O documento de que trata o parágrafo acima deve conter regras que sejam efetivas e consistentes com a natureza, porte, complexidade, estrutura, perfil de risco dos Produtos de In- vestimento distribuídos e modelo de negócio da instituição, e conter, no mínimo:</w:t>
      </w:r>
    </w:p>
    <w:p w14:paraId="1D780C38" w14:textId="77777777" w:rsidR="008A61FF" w:rsidRDefault="008A61FF" w:rsidP="008A61FF">
      <w:r>
        <w:t>I.  Procedimento adotado para aceitação de investidores, incluindo procedimento para análise e validação dos dados, bem como a forma de aprovação dos investidores;</w:t>
      </w:r>
    </w:p>
    <w:p w14:paraId="2A38AD12" w14:textId="5DF1CAA4" w:rsidR="008A61FF" w:rsidRDefault="008A61FF" w:rsidP="008A61FF">
      <w:r>
        <w:t>II.  Indicação dos casos em que são realizadas visitas aos investidores em sua residência, local de trabalho ou instalações comerciais;</w:t>
      </w:r>
    </w:p>
    <w:p w14:paraId="4B66BE17" w14:textId="18505C4E" w:rsidR="008A61FF" w:rsidRDefault="008A61FF" w:rsidP="008A61FF">
      <w:r>
        <w:t>III.  Indicação do sistema e ferramentas utilizadas para realizar o controle das informações, dados e movimentações dos investidores;</w:t>
      </w:r>
    </w:p>
    <w:p w14:paraId="29506FD3" w14:textId="137F5E46" w:rsidR="008A61FF" w:rsidRDefault="008A61FF" w:rsidP="008A61FF">
      <w:r>
        <w:t>IV.  Procedimento de atualização cadastral, nos termos da Regulação em vigor;</w:t>
      </w:r>
    </w:p>
    <w:p w14:paraId="32E1A41C" w14:textId="0D410C3E" w:rsidR="008A61FF" w:rsidRDefault="008A61FF" w:rsidP="008A61FF">
      <w:r>
        <w:t>V. Procedimento adotado para identificar a pessoa natural caracterizada como beneficiário final, nos termos da Regulação em vigor; e</w:t>
      </w:r>
    </w:p>
    <w:p w14:paraId="58E35733" w14:textId="064E8495" w:rsidR="008A61FF" w:rsidRDefault="008A61FF" w:rsidP="008A61FF">
      <w:r>
        <w:t>VI.  Procedimento adotado para veto de relacionamentos em razão dos riscos envolvidos.</w:t>
      </w:r>
    </w:p>
    <w:p w14:paraId="579C5905" w14:textId="4637252E" w:rsidR="008A61FF" w:rsidRDefault="008A61FF" w:rsidP="008A61FF">
      <w:r>
        <w:t>Art. 44. As Instituições Participantes devem manter as informações cadastrais de seus investidores atualizadas, de modo a permitir que haja identificação, a qualquer tempo, de cada um dos beneficiários finais, bem como do registro atualizado de todas as aplicações e resgates realizados em nome dos investidores, quando aplicável.</w:t>
      </w:r>
    </w:p>
    <w:p w14:paraId="55779471" w14:textId="77777777" w:rsidR="007555F3" w:rsidRPr="007555F3" w:rsidRDefault="007555F3" w:rsidP="007555F3">
      <w:pPr>
        <w:rPr>
          <w:b/>
          <w:bCs/>
          <w:u w:val="single"/>
        </w:rPr>
      </w:pPr>
      <w:r w:rsidRPr="007555F3">
        <w:rPr>
          <w:b/>
          <w:bCs/>
          <w:u w:val="single"/>
        </w:rPr>
        <w:t>Cod Melhores Praticas Dis Prod Investimento - Suitability e Selo Anbima</w:t>
      </w:r>
    </w:p>
    <w:p w14:paraId="7CE80BE3" w14:textId="190E0F24" w:rsidR="007555F3" w:rsidRDefault="007555F3" w:rsidP="007555F3">
      <w:r>
        <w:t>SELO</w:t>
      </w:r>
    </w:p>
    <w:p w14:paraId="0CBDED53" w14:textId="4B67A82D" w:rsidR="007555F3" w:rsidRDefault="007555F3" w:rsidP="007555F3">
      <w:r>
        <w:t>É obrigatória a veiculação da logomarca da ANBIMA acompanhada de texto obrigatório (Selo ANBIMA) e utilizada para demonstração do compromisso das instituições participan­tes com o cumprimento e observância dos termos descritos acima.</w:t>
      </w:r>
    </w:p>
    <w:p w14:paraId="3920CEB7" w14:textId="0F67B817" w:rsidR="007555F3" w:rsidRDefault="007555F3" w:rsidP="007555F3">
      <w:r>
        <w:t>O selo ANBIMA deve estar presente nos seguintes documentos:</w:t>
      </w:r>
    </w:p>
    <w:p w14:paraId="367AD888" w14:textId="42E612B0" w:rsidR="007555F3" w:rsidRDefault="007555F3" w:rsidP="007555F3">
      <w:r>
        <w:t>I. Prospecto;</w:t>
      </w:r>
    </w:p>
    <w:p w14:paraId="05CD7E71" w14:textId="05FC80CE" w:rsidR="007555F3" w:rsidRDefault="007555F3" w:rsidP="007555F3">
      <w:r>
        <w:lastRenderedPageBreak/>
        <w:t>II. Lâmina para Nota Promissória, conforme modelo disponibilizado pela ANBIMA;</w:t>
      </w:r>
    </w:p>
    <w:p w14:paraId="1FDEE545" w14:textId="636071D9" w:rsidR="007555F3" w:rsidRDefault="007555F3" w:rsidP="007555F3">
      <w:r>
        <w:t>III. Memorando, conforme modelo disponibilizado pela ANBIMA;</w:t>
      </w:r>
    </w:p>
    <w:p w14:paraId="524DA448" w14:textId="570B30EA" w:rsidR="007555F3" w:rsidRDefault="007555F3" w:rsidP="007555F3">
      <w:r>
        <w:t>IV. Avisos ao mercado;</w:t>
      </w:r>
    </w:p>
    <w:p w14:paraId="443869F6" w14:textId="506F4086" w:rsidR="007555F3" w:rsidRDefault="007555F3" w:rsidP="007555F3">
      <w:r>
        <w:t>V. Comunicados ao mercado;</w:t>
      </w:r>
    </w:p>
    <w:p w14:paraId="69BBF352" w14:textId="64BA0C1A" w:rsidR="007555F3" w:rsidRDefault="007555F3" w:rsidP="007555F3">
      <w:r>
        <w:t>VI. Anúncio de início de distribuição;</w:t>
      </w:r>
    </w:p>
    <w:p w14:paraId="462049BE" w14:textId="2A5046D4" w:rsidR="007555F3" w:rsidRDefault="007555F3" w:rsidP="007555F3">
      <w:r>
        <w:t>VII. Anúncio de encerramento de distribuição;</w:t>
      </w:r>
    </w:p>
    <w:p w14:paraId="7630DB40" w14:textId="3B32E38C" w:rsidR="007555F3" w:rsidRDefault="007555F3" w:rsidP="007555F3">
      <w:r>
        <w:t>VIII. Edital de Oferta Pública de Aquisição de Ações.</w:t>
      </w:r>
    </w:p>
    <w:p w14:paraId="4B58142B" w14:textId="77777777" w:rsidR="007555F3" w:rsidRDefault="007555F3" w:rsidP="007555F3">
      <w:r>
        <w:t>A veiculação do Selo ANBIMA tem por finalidade exclusiva demonstrar o compromisso das Instituições Participantes em atender às disposições do presente código. Não cabendo qual­quer responsabilidade à ANBIMA pelas informações constantes dos referidos documentos relativos às ofertas públicas. Bem como pela qualidade da emissora e/ou ofertantes, das Instituições Participantes e/ou dos valores mobiliários objeto da oferta pública.</w:t>
      </w:r>
    </w:p>
    <w:p w14:paraId="18169449" w14:textId="75F542DC" w:rsidR="007555F3" w:rsidRDefault="007555F3" w:rsidP="007555F3">
      <w:r>
        <w:t>SUITABILIT</w:t>
      </w:r>
      <w:r>
        <w:t>Y</w:t>
      </w:r>
    </w:p>
    <w:p w14:paraId="7638B076" w14:textId="5019DB2F" w:rsidR="007555F3" w:rsidRDefault="007555F3" w:rsidP="007555F3">
      <w:r>
        <w:t>As Instituições Participantes, no exercício da atividade de Distribuição de Produtos de Investimento, não podem recomendar Produtos de Investimento, realizar operações ou prestar serviços sem que verifiquem sua adequação ao perfil do investidor.</w:t>
      </w:r>
    </w:p>
    <w:p w14:paraId="7D79601D" w14:textId="5D12F44C" w:rsidR="007555F3" w:rsidRDefault="007555F3" w:rsidP="007555F3">
      <w:r>
        <w:t>Mas sim, devem implementar e manter, em documento escrito, regras e procedimentos que possibilitem verificar a adequação dos produtos de investimento ao perfil dos inves­tidores (Suitability), devendo conter, no mínimo:</w:t>
      </w:r>
    </w:p>
    <w:p w14:paraId="428789DB" w14:textId="20E36EAE" w:rsidR="007555F3" w:rsidRDefault="007555F3" w:rsidP="007555F3">
      <w:r>
        <w:t>I. Coleta de informações: descrição detalhada do mecanismo de coleta das informa­ções junto ao investidor para definição de perfil;</w:t>
      </w:r>
    </w:p>
    <w:p w14:paraId="479BD418" w14:textId="6778D07E" w:rsidR="007555F3" w:rsidRDefault="007555F3" w:rsidP="007555F3">
      <w:r>
        <w:t>II. Classificação do perfil: descrição detalhada dos critérios utilizados para a classi­ficação de perfil do investidor, devendo ser observadas as características de clas­sificação para cada perfil, conforme Diretriz ANBIMA de Suitability;</w:t>
      </w:r>
    </w:p>
    <w:p w14:paraId="52FBF113" w14:textId="06904377" w:rsidR="007555F3" w:rsidRDefault="007555F3" w:rsidP="007555F3">
      <w:r>
        <w:t>III. Classificação dos Produtos de Investimento: descrição detalhada dos critérios utilizados para a classificação de cada Produto de Investimento;</w:t>
      </w:r>
    </w:p>
    <w:p w14:paraId="3F4AA810" w14:textId="4F4AE06B" w:rsidR="007555F3" w:rsidRDefault="007555F3" w:rsidP="007555F3">
      <w:r>
        <w:t xml:space="preserve">IV. Comunicação com o investidor: descrição detalhada dos meios, forma e periodicidade de comunicação utilizada entre a Instituição Participante e o inves­tidor para: i. Divulgação do seu perfil de risco após coleta das informações; </w:t>
      </w:r>
    </w:p>
    <w:p w14:paraId="59201551" w14:textId="279D0EBB" w:rsidR="007555F3" w:rsidRDefault="007555F3" w:rsidP="007555F3">
      <w:r>
        <w:t>ii. Divulgação referente ao desenquadramento identificado entre o perfil do investidor e seus investimentos, a ser efetuada sempre que verificado o desenquadramento;</w:t>
      </w:r>
    </w:p>
    <w:p w14:paraId="7CF48DAD" w14:textId="3F39CDE8" w:rsidR="007555F3" w:rsidRDefault="007555F3" w:rsidP="007555F3">
      <w:r>
        <w:t>V. Procedimento operacional: descrição detalhada dos procedimentos utilizados para a aferição periódica entre o perfil do investidor e seus investimentos;</w:t>
      </w:r>
    </w:p>
    <w:p w14:paraId="16FE9A9E" w14:textId="0A2B6E79" w:rsidR="007555F3" w:rsidRDefault="007555F3" w:rsidP="007555F3">
      <w:r>
        <w:t>VI. Atualização do perfil do investidor: descrição detalhada dos critérios utilizados para atualização do perfil do investidor, incluindo a forma como a Instituição Participante dará ciência desta atualização;</w:t>
      </w:r>
    </w:p>
    <w:p w14:paraId="4B85B2CB" w14:textId="1457DFA5" w:rsidR="007555F3" w:rsidRDefault="007555F3" w:rsidP="007555F3">
      <w:r>
        <w:lastRenderedPageBreak/>
        <w:t>VII. Controles internos: descrição detalhada dos controles internos e mecanismos adotados pela Instituição Participante para o processo de Suitability com o obje­tivo de assegurar a efetividade dos procedimentos estabelecidos pela instituição.</w:t>
      </w:r>
    </w:p>
    <w:p w14:paraId="35877323" w14:textId="4F94A3AC" w:rsidR="007555F3" w:rsidRDefault="007555F3" w:rsidP="007555F3">
      <w:r>
        <w:t>A verificação do perfil do investidor não será aplicada nas exceções previstas na Regulação vigente. A Instituição Participante é responsável pelo Suitability de seus investidores.</w:t>
      </w:r>
    </w:p>
    <w:p w14:paraId="74823C62" w14:textId="2A711739" w:rsidR="007555F3" w:rsidRDefault="007555F3" w:rsidP="007555F3">
      <w:r>
        <w:t>A coleta de informações do investidor deve possibilitar a definição de:</w:t>
      </w:r>
    </w:p>
    <w:p w14:paraId="43537F7A" w14:textId="77777777" w:rsidR="007555F3" w:rsidRDefault="007555F3" w:rsidP="007555F3">
      <w:r>
        <w:t>seu objetivo de investimento;</w:t>
      </w:r>
    </w:p>
    <w:p w14:paraId="754E392B" w14:textId="77777777" w:rsidR="007555F3" w:rsidRDefault="007555F3" w:rsidP="007555F3">
      <w:r>
        <w:t>sua situação financeira;</w:t>
      </w:r>
    </w:p>
    <w:p w14:paraId="54F41C42" w14:textId="77777777" w:rsidR="007555F3" w:rsidRDefault="007555F3" w:rsidP="007555F3">
      <w:r>
        <w:t>seu conhecimento em matéria de investimentos, fornecendo informações suficientes para permitir a definição do perfil de cada investidor.</w:t>
      </w:r>
    </w:p>
    <w:p w14:paraId="23DB3CB4" w14:textId="5CF7D346" w:rsidR="007555F3" w:rsidRDefault="007555F3" w:rsidP="007555F3">
      <w:r>
        <w:t>Para definição do objetivo de investimento do investidor, a Instituição Participante deve considerar, no mínimo, as seguintes informações:</w:t>
      </w:r>
    </w:p>
    <w:p w14:paraId="2328E757" w14:textId="5D2E86D7" w:rsidR="007555F3" w:rsidRDefault="007555F3" w:rsidP="007555F3">
      <w:r>
        <w:t>I. Período em que será mantido o investimento;</w:t>
      </w:r>
    </w:p>
    <w:p w14:paraId="6D33F2E2" w14:textId="52B3F799" w:rsidR="007555F3" w:rsidRDefault="007555F3" w:rsidP="007555F3">
      <w:r>
        <w:t>II. As preferências declaradas quanto à assunção de riscos;</w:t>
      </w:r>
    </w:p>
    <w:p w14:paraId="13AEBF4C" w14:textId="28A8117F" w:rsidR="007555F3" w:rsidRDefault="007555F3" w:rsidP="007555F3">
      <w:r>
        <w:t>III. As finalidades do investimento.</w:t>
      </w:r>
    </w:p>
    <w:p w14:paraId="7D3AFDA1" w14:textId="04FE3E48" w:rsidR="007555F3" w:rsidRDefault="007555F3" w:rsidP="007555F3">
      <w:r>
        <w:t>Para definição da situação financeira do investidor, a Instituição Participante deve con­siderar, no mínimo, as seguintes informações:</w:t>
      </w:r>
    </w:p>
    <w:p w14:paraId="1B21F835" w14:textId="405481A4" w:rsidR="007555F3" w:rsidRDefault="007555F3" w:rsidP="007555F3">
      <w:r>
        <w:t>I. O valor das receitas regulares declaradas;</w:t>
      </w:r>
    </w:p>
    <w:p w14:paraId="6FF4535D" w14:textId="33EDAEB7" w:rsidR="007555F3" w:rsidRDefault="007555F3" w:rsidP="007555F3">
      <w:r>
        <w:t>II. O valor e os ativos que compõem seu patrimônio;</w:t>
      </w:r>
    </w:p>
    <w:p w14:paraId="4C9A38FE" w14:textId="0B2F13EC" w:rsidR="008A61FF" w:rsidRDefault="007555F3" w:rsidP="007555F3">
      <w:r>
        <w:t>III. A necessidade futura de recursos declarada.</w:t>
      </w:r>
    </w:p>
    <w:p w14:paraId="6E2CF799" w14:textId="7CFA0C40" w:rsidR="007555F3" w:rsidRDefault="00AA618E" w:rsidP="008A61FF">
      <w:pPr>
        <w:rPr>
          <w:b/>
          <w:bCs/>
          <w:u w:val="single"/>
        </w:rPr>
      </w:pPr>
      <w:r w:rsidRPr="00AA618E">
        <w:rPr>
          <w:b/>
          <w:bCs/>
          <w:u w:val="single"/>
        </w:rPr>
        <w:t>Cod Melhores Praticas Dis Prod Investimento - Distribuição de Fundos de Investimento (Anexo I)</w:t>
      </w:r>
    </w:p>
    <w:p w14:paraId="32706D6C" w14:textId="77777777" w:rsidR="00AA618E" w:rsidRDefault="00AA618E" w:rsidP="00AA618E">
      <w:r>
        <w:t>ANEXO I – DISTRIBUIÇÃO DE FUNDOS DE INVESTIMENTO</w:t>
      </w:r>
    </w:p>
    <w:p w14:paraId="79CE284F" w14:textId="77777777" w:rsidR="00AA618E" w:rsidRDefault="00AA618E" w:rsidP="00AA618E">
      <w:r>
        <w:t>Art. 1º. O presente anexo aplica-se, em adição às regras do Código, à distribuição dos Fundos 555, FIDC, FII e os Fundos de Índice, em conjunto (“Fundos”).</w:t>
      </w:r>
    </w:p>
    <w:p w14:paraId="39C49A52" w14:textId="0C38CAF1" w:rsidR="00AA618E" w:rsidRDefault="00AA618E" w:rsidP="00AA618E">
      <w:r>
        <w:t>Parágrafo único. Em caso de eventual divergência entre as disposições deste anexo e do Código, prevalecem as disposições deste anexo.</w:t>
      </w:r>
    </w:p>
    <w:p w14:paraId="714DC951" w14:textId="77777777" w:rsidR="00AA618E" w:rsidRDefault="00AA618E" w:rsidP="00AA618E">
      <w:r>
        <w:t>CAPÍTULO I – DISTRIBUIÇÃO</w:t>
      </w:r>
    </w:p>
    <w:p w14:paraId="2FE51F23" w14:textId="5D6F5EDE" w:rsidR="00AA618E" w:rsidRDefault="00AA618E" w:rsidP="00AA618E">
      <w:r>
        <w:t>Art. 2º. As Instituições Participantes devem disponibilizar seção exclusiva em seus sites na internet, observado o artigo 41 do Código, sobre os Fundos, contendo, no mínimo, as seguintes informações:</w:t>
      </w:r>
    </w:p>
    <w:p w14:paraId="049CE1CC" w14:textId="1C279903" w:rsidR="00AA618E" w:rsidRDefault="00AA618E" w:rsidP="00AA618E">
      <w:r>
        <w:t>I. Política de investimento;</w:t>
      </w:r>
    </w:p>
    <w:p w14:paraId="342F9F83" w14:textId="7D680F80" w:rsidR="00AA618E" w:rsidRDefault="00AA618E" w:rsidP="00AA618E">
      <w:r>
        <w:t>II. Classificação de risco do Fundo;</w:t>
      </w:r>
    </w:p>
    <w:p w14:paraId="0B3210CB" w14:textId="30E28729" w:rsidR="00AA618E" w:rsidRDefault="00AA618E" w:rsidP="00AA618E">
      <w:r>
        <w:t>III.  Condições de aplicação, amortização (se for o caso) e resgate (cotização);</w:t>
      </w:r>
    </w:p>
    <w:p w14:paraId="0E504836" w14:textId="53A9B71C" w:rsidR="00AA618E" w:rsidRDefault="00AA618E" w:rsidP="00AA618E">
      <w:r>
        <w:lastRenderedPageBreak/>
        <w:t>IV.  Limites mínimos e máximos de investimento e valores mínimos para movimentação e permanência no Fundo;</w:t>
      </w:r>
    </w:p>
    <w:p w14:paraId="457748C8" w14:textId="30F8CBA8" w:rsidR="00AA618E" w:rsidRDefault="00AA618E" w:rsidP="00AA618E">
      <w:r>
        <w:t>V. Taxa de administração, de performance e demais taxas, se houver;</w:t>
      </w:r>
    </w:p>
    <w:p w14:paraId="29251ABD" w14:textId="5FD607DE" w:rsidR="00AA618E" w:rsidRDefault="00AA618E" w:rsidP="00AA618E">
      <w:r>
        <w:t>VI .Rentabilidade, observado o disposto nas regras de Publicidade previstas nos anexos do Código de Recursos de Terceiros, quando aplicável;</w:t>
      </w:r>
    </w:p>
    <w:p w14:paraId="2CD6B2D9" w14:textId="55FCD722" w:rsidR="00AA618E" w:rsidRDefault="00AA618E" w:rsidP="00AA618E">
      <w:r>
        <w:t>VII.  Avisos obrigatórios, observado  o disposto nas regras de  Publicidade previstas nos anexos do Código de Recursos de Terceiros, quando aplicável; e</w:t>
      </w:r>
    </w:p>
    <w:p w14:paraId="37C8A03B" w14:textId="3D7BEB40" w:rsidR="00AA618E" w:rsidRDefault="00AA618E" w:rsidP="00AA618E">
      <w:r>
        <w:t>VIII. Referência ao local de acesso aos documentos do Fundo com explicitação do canal destinado ao atendimento a investidores.</w:t>
      </w:r>
    </w:p>
    <w:p w14:paraId="72C214AC" w14:textId="6DB46B0E" w:rsidR="00AA618E" w:rsidRDefault="00AA618E" w:rsidP="00AA618E">
      <w:r>
        <w:t>§1º. As Instituições Participantes podem disponibilizar as informações exigidas pelo caput por meio de seu próprio site, ou por meio de link para os sites dos Administradores Fiduciários e/ou Gestores de Recursos dos Fundos distribuídos que contenham as informações.</w:t>
      </w:r>
    </w:p>
    <w:p w14:paraId="05517B85" w14:textId="7C2334FB" w:rsidR="00AA618E" w:rsidRDefault="00AA618E" w:rsidP="00AA618E">
      <w:r>
        <w:t>§2º. Independentemente de qual seja a escolha do local para divulgar as informações dos Fundos, conforme previsto no parágrafo anterior, a Instituição Participante é responsável pelas informações divulgadas.</w:t>
      </w:r>
    </w:p>
    <w:p w14:paraId="21FC5A9C" w14:textId="77777777" w:rsidR="00AA618E" w:rsidRDefault="00AA618E" w:rsidP="00AA618E">
      <w:r>
        <w:t>§3º. O disposto no caput aplica-se aos Fundos:</w:t>
      </w:r>
    </w:p>
    <w:p w14:paraId="6A977220" w14:textId="5BA24AFA" w:rsidR="00AA618E" w:rsidRDefault="00AA618E" w:rsidP="00AA618E">
      <w:r>
        <w:t>I. Constituídos sob a forma de condomínio aberto, cuja distribuição de cotas independe de prévio registro na Comissão de Valores Mobiliários, nos termos da Regulação vigente; e</w:t>
      </w:r>
    </w:p>
    <w:p w14:paraId="2098F18E" w14:textId="55634030" w:rsidR="00AA618E" w:rsidRDefault="00AA618E" w:rsidP="00AA618E">
      <w:r>
        <w:t>II. Que não sejam Exclusivos e/ou Reservado, e que não sejam objeto de oferta pública pela Instituição Participante.</w:t>
      </w:r>
    </w:p>
    <w:p w14:paraId="1FB4E60B" w14:textId="74ED57B5" w:rsidR="00AA618E" w:rsidRDefault="00AA618E" w:rsidP="00AA618E">
      <w:r>
        <w:t>Art. 3º. As Instituições Participantes devem disponibilizar aos investidores os documentos obriga- tórios dos Fundos, conforme exigido pela Regulação em vigor.</w:t>
      </w:r>
    </w:p>
    <w:p w14:paraId="504AA214" w14:textId="2DEBA955" w:rsidR="00AA618E" w:rsidRPr="00D417C6" w:rsidRDefault="00D417C6" w:rsidP="00AA618E">
      <w:pPr>
        <w:rPr>
          <w:b/>
          <w:bCs/>
          <w:u w:val="single"/>
        </w:rPr>
      </w:pPr>
      <w:r w:rsidRPr="00D417C6">
        <w:rPr>
          <w:b/>
          <w:bCs/>
          <w:u w:val="single"/>
        </w:rPr>
        <w:t>Análise</w:t>
      </w:r>
      <w:r w:rsidRPr="00D417C6">
        <w:rPr>
          <w:b/>
          <w:bCs/>
          <w:u w:val="single"/>
        </w:rPr>
        <w:t xml:space="preserve"> Do Perfil Do Investidor </w:t>
      </w:r>
      <w:r w:rsidRPr="00D417C6">
        <w:rPr>
          <w:b/>
          <w:bCs/>
          <w:u w:val="single"/>
        </w:rPr>
        <w:t>–</w:t>
      </w:r>
      <w:r w:rsidRPr="00D417C6">
        <w:rPr>
          <w:b/>
          <w:bCs/>
          <w:u w:val="single"/>
        </w:rPr>
        <w:t xml:space="preserve"> API</w:t>
      </w:r>
    </w:p>
    <w:p w14:paraId="54A4DFF0" w14:textId="7599F40C" w:rsidR="00D417C6" w:rsidRDefault="00D417C6" w:rsidP="00D417C6">
      <w:r>
        <w:t xml:space="preserve">Análise do Perfil do Investidor – API (Suitability) </w:t>
      </w:r>
    </w:p>
    <w:p w14:paraId="4B6710E3" w14:textId="27C39B95" w:rsidR="00D417C6" w:rsidRDefault="00D417C6" w:rsidP="00D417C6">
      <w:r>
        <w:t>Esse é um tema que tem um peso considerável em sua prova da ANBIMA e isso tem uma razão bem óbvia. Você, enquanto profissional certificado, possui, entre outras atribuições, a missão de recomendar produtos de investimentos a seus clientes, e essa recomendação deve ser pautada na real necessidade do investidor.</w:t>
      </w:r>
    </w:p>
    <w:p w14:paraId="2878D2E9" w14:textId="3E719DE8" w:rsidR="00D417C6" w:rsidRDefault="00D417C6" w:rsidP="00D417C6">
      <w:r>
        <w:t xml:space="preserve">Para dar mais respaldo à sua recomendação, é que a CVM, através da instrução normativa 539, que irá regular esse instrumento de análise de perfil do investidor. </w:t>
      </w:r>
    </w:p>
    <w:p w14:paraId="36A168F3" w14:textId="163475DA" w:rsidR="00D417C6" w:rsidRDefault="00D417C6" w:rsidP="00D417C6">
      <w:r>
        <w:t>cada instituição terá seu procedimento para colher informações de perfil do investidor, mas a premissa dos pontos a serem analisados são:</w:t>
      </w:r>
    </w:p>
    <w:p w14:paraId="70FF3EAC" w14:textId="0443F744" w:rsidR="00D417C6" w:rsidRDefault="00D417C6" w:rsidP="00D417C6">
      <w:r>
        <w:rPr>
          <w:rFonts w:ascii="Segoe UI Symbol" w:hAnsi="Segoe UI Symbol" w:cs="Segoe UI Symbol"/>
        </w:rPr>
        <w:t>⯀</w:t>
      </w:r>
      <w:r>
        <w:t xml:space="preserve"> o período em que o cliente deseja manter o investimento; </w:t>
      </w:r>
    </w:p>
    <w:p w14:paraId="24F70BE0" w14:textId="4923FA3E" w:rsidR="00D417C6" w:rsidRDefault="00D417C6" w:rsidP="00D417C6">
      <w:r>
        <w:rPr>
          <w:rFonts w:ascii="Segoe UI Symbol" w:hAnsi="Segoe UI Symbol" w:cs="Segoe UI Symbol"/>
        </w:rPr>
        <w:t>⯀</w:t>
      </w:r>
      <w:r>
        <w:t xml:space="preserve"> as preferências declaradas do cliente quanto à assunção de riscos; </w:t>
      </w:r>
    </w:p>
    <w:p w14:paraId="7AFF07C4" w14:textId="1174CE88" w:rsidR="00D417C6" w:rsidRDefault="00D417C6" w:rsidP="00D417C6">
      <w:r>
        <w:rPr>
          <w:rFonts w:ascii="Segoe UI Symbol" w:hAnsi="Segoe UI Symbol" w:cs="Segoe UI Symbol"/>
        </w:rPr>
        <w:t>⯀</w:t>
      </w:r>
      <w:r>
        <w:t xml:space="preserve"> as finalidades do investimento.</w:t>
      </w:r>
    </w:p>
    <w:p w14:paraId="5350B426" w14:textId="4FDAA18F" w:rsidR="00D417C6" w:rsidRDefault="00D417C6" w:rsidP="00D417C6">
      <w:r>
        <w:lastRenderedPageBreak/>
        <w:t>Para o mapeamento do perfil do investidor, também é importante conhecer a situação financeira do mesmo. Até porque, não seria prudente oferecer um produto estruturado para o investidor que deseja aportar R$ 50,00 por mês.</w:t>
      </w:r>
    </w:p>
    <w:p w14:paraId="00C1D0B5" w14:textId="3339EA34" w:rsidR="00D417C6" w:rsidRDefault="00D417C6" w:rsidP="00D417C6">
      <w:r>
        <w:t>Para delinearmos a situação financeira do investidor, colhemos as seguintes informações:</w:t>
      </w:r>
    </w:p>
    <w:p w14:paraId="3FC409CE" w14:textId="118B9759" w:rsidR="00D417C6" w:rsidRDefault="00D417C6" w:rsidP="00D417C6">
      <w:r>
        <w:rPr>
          <w:rFonts w:ascii="Segoe UI Symbol" w:hAnsi="Segoe UI Symbol" w:cs="Segoe UI Symbol"/>
        </w:rPr>
        <w:t>⯀</w:t>
      </w:r>
      <w:r>
        <w:t xml:space="preserve"> o valor das receitas regulares declaradas pelo cliente; </w:t>
      </w:r>
    </w:p>
    <w:p w14:paraId="7BE400A7" w14:textId="0EEC126D" w:rsidR="00D417C6" w:rsidRDefault="00D417C6" w:rsidP="00D417C6">
      <w:r>
        <w:rPr>
          <w:rFonts w:ascii="Segoe UI Symbol" w:hAnsi="Segoe UI Symbol" w:cs="Segoe UI Symbol"/>
        </w:rPr>
        <w:t>⯀</w:t>
      </w:r>
      <w:r>
        <w:t xml:space="preserve"> o valor e os ativos que compõem o patrimônio do cliente;</w:t>
      </w:r>
    </w:p>
    <w:p w14:paraId="368A6EE6" w14:textId="445513F9" w:rsidR="00D417C6" w:rsidRDefault="00D417C6" w:rsidP="00D417C6">
      <w:r>
        <w:t xml:space="preserve"> </w:t>
      </w:r>
      <w:r>
        <w:rPr>
          <w:rFonts w:ascii="Segoe UI Symbol" w:hAnsi="Segoe UI Symbol" w:cs="Segoe UI Symbol"/>
        </w:rPr>
        <w:t>⯀</w:t>
      </w:r>
      <w:r>
        <w:t xml:space="preserve"> a necessidade futura de recursos declarada pelo cliente</w:t>
      </w:r>
    </w:p>
    <w:p w14:paraId="16F9D93B" w14:textId="0281B04C" w:rsidR="00D417C6" w:rsidRDefault="00D417C6" w:rsidP="00D417C6">
      <w:r>
        <w:t>Além de entender os objetivos do investidor e sua situação financeira, é necessário mapear o nível de conhecimento que o investidor tem sobre o produto. Fazemos isso colhendo as seguintes informações::</w:t>
      </w:r>
    </w:p>
    <w:p w14:paraId="0D9C9FC4" w14:textId="6DC6E665" w:rsidR="00D417C6" w:rsidRDefault="00D417C6" w:rsidP="00D417C6">
      <w:r>
        <w:rPr>
          <w:rFonts w:ascii="Segoe UI Symbol" w:hAnsi="Segoe UI Symbol" w:cs="Segoe UI Symbol"/>
        </w:rPr>
        <w:t>⯀</w:t>
      </w:r>
      <w:r>
        <w:t xml:space="preserve"> os tipos de produtos, serviços e operações com os quais o cliente tem familiaridade; </w:t>
      </w:r>
    </w:p>
    <w:p w14:paraId="292F94A1" w14:textId="6BF69534" w:rsidR="00D417C6" w:rsidRDefault="00D417C6" w:rsidP="00D417C6">
      <w:r>
        <w:rPr>
          <w:rFonts w:ascii="Segoe UI Symbol" w:hAnsi="Segoe UI Symbol" w:cs="Segoe UI Symbol"/>
        </w:rPr>
        <w:t>⯀</w:t>
      </w:r>
      <w:r>
        <w:t xml:space="preserve"> a natureza, o volume e a frequência das operações já realizadas pelo cliente no mercado de valores mobiliários, bem como o período em que tais operações foram realizadas; e </w:t>
      </w:r>
    </w:p>
    <w:p w14:paraId="52DCA0E2" w14:textId="667685C4" w:rsidR="00D417C6" w:rsidRDefault="00D417C6" w:rsidP="00D417C6">
      <w:r>
        <w:rPr>
          <w:rFonts w:ascii="Segoe UI Symbol" w:hAnsi="Segoe UI Symbol" w:cs="Segoe UI Symbol"/>
        </w:rPr>
        <w:t>⯀</w:t>
      </w:r>
      <w:r>
        <w:t xml:space="preserve"> a formação acadêmica e a experiência profissional do cliente, caso se trate de Pessoa Física.</w:t>
      </w:r>
    </w:p>
    <w:p w14:paraId="3C3CC3C2" w14:textId="481EF3A9" w:rsidR="00D417C6" w:rsidRDefault="00D417C6" w:rsidP="00D417C6">
      <w:r>
        <w:t>Para além desses pontos, os responsáveis pelas verificações de suitability devem considerar os custos associados a produtos, serviços ou operações – tanto diretos como indiretos – abstendo-se de recomendar aqueles que impliquem custos excessivos e inadequados ao perfil do cliente. Para avaliar esse perfil, contudo, os responsáveis pelas verificações de suitability devem avaliar e classificar seus clientes em categorias de risco previamente estabelecidas por eles mesmos.</w:t>
      </w:r>
    </w:p>
    <w:p w14:paraId="54D46572" w14:textId="2760D02C" w:rsidR="00D417C6" w:rsidRDefault="00D417C6" w:rsidP="00D417C6">
      <w:r>
        <w:t xml:space="preserve">Embora o perfil do investidor possa ser bem detalhado, o mercado trabalha conceitualmente com 3 perfis de investidor: </w:t>
      </w:r>
    </w:p>
    <w:p w14:paraId="2B040372" w14:textId="5A9BD5AA" w:rsidR="00D417C6" w:rsidRDefault="00D417C6" w:rsidP="00D417C6">
      <w:r>
        <w:t xml:space="preserve"> </w:t>
      </w:r>
      <w:r>
        <w:rPr>
          <w:rFonts w:ascii="Segoe UI Symbol" w:hAnsi="Segoe UI Symbol" w:cs="Segoe UI Symbol"/>
        </w:rPr>
        <w:t>⯀</w:t>
      </w:r>
      <w:r>
        <w:t xml:space="preserve">conservador; </w:t>
      </w:r>
    </w:p>
    <w:p w14:paraId="5C4CE5A2" w14:textId="05D51539" w:rsidR="00D417C6" w:rsidRDefault="00D417C6" w:rsidP="00D417C6">
      <w:r>
        <w:rPr>
          <w:rFonts w:ascii="Segoe UI Symbol" w:hAnsi="Segoe UI Symbol" w:cs="Segoe UI Symbol"/>
        </w:rPr>
        <w:t>⯀</w:t>
      </w:r>
      <w:r>
        <w:t xml:space="preserve"> moderado; </w:t>
      </w:r>
    </w:p>
    <w:p w14:paraId="15BA639C" w14:textId="3731A008" w:rsidR="00D417C6" w:rsidRDefault="00D417C6" w:rsidP="00D417C6">
      <w:r>
        <w:rPr>
          <w:rFonts w:ascii="Segoe UI Symbol" w:hAnsi="Segoe UI Symbol" w:cs="Segoe UI Symbol"/>
        </w:rPr>
        <w:t>⯀</w:t>
      </w:r>
      <w:r>
        <w:t xml:space="preserve"> agressivo.</w:t>
      </w:r>
    </w:p>
    <w:p w14:paraId="5B26F05F" w14:textId="769B1997" w:rsidR="00D417C6" w:rsidRDefault="00D417C6" w:rsidP="00D417C6">
      <w:r>
        <w:t xml:space="preserve">Em complemento e a fim de melhor verificar a adequação, também os produtos devem ser analisados e classificados em categorias. Essa classificação deve considerar, no mínimo: </w:t>
      </w:r>
    </w:p>
    <w:p w14:paraId="59ACFFBA" w14:textId="1E7E8403" w:rsidR="00D417C6" w:rsidRDefault="00D417C6" w:rsidP="00D417C6">
      <w:r>
        <w:rPr>
          <w:rFonts w:ascii="Segoe UI Symbol" w:hAnsi="Segoe UI Symbol" w:cs="Segoe UI Symbol"/>
        </w:rPr>
        <w:t>⯀</w:t>
      </w:r>
      <w:r>
        <w:t xml:space="preserve"> os riscos associados ao produto e aos ativos subjacentes a esse produto; </w:t>
      </w:r>
    </w:p>
    <w:p w14:paraId="5CDB7A61" w14:textId="77777777" w:rsidR="00D417C6" w:rsidRDefault="00D417C6" w:rsidP="00D417C6">
      <w:r>
        <w:rPr>
          <w:rFonts w:ascii="Segoe UI Symbol" w:hAnsi="Segoe UI Symbol" w:cs="Segoe UI Symbol"/>
        </w:rPr>
        <w:t>⯀</w:t>
      </w:r>
      <w:r>
        <w:t xml:space="preserve"> o perfil dos emissores e prestadores de serviços associados ao produto;</w:t>
      </w:r>
    </w:p>
    <w:p w14:paraId="447062D5" w14:textId="1C3453C6" w:rsidR="00D417C6" w:rsidRDefault="00D417C6" w:rsidP="00D417C6">
      <w:r>
        <w:rPr>
          <w:rFonts w:ascii="Segoe UI Symbol" w:hAnsi="Segoe UI Symbol" w:cs="Segoe UI Symbol"/>
        </w:rPr>
        <w:t>⯀</w:t>
      </w:r>
      <w:r>
        <w:t xml:space="preserve"> a existência ou não de garantias; </w:t>
      </w:r>
    </w:p>
    <w:p w14:paraId="72BD728C" w14:textId="64538895" w:rsidR="00D417C6" w:rsidRDefault="00D417C6" w:rsidP="00D417C6">
      <w:r>
        <w:rPr>
          <w:rFonts w:ascii="Segoe UI Symbol" w:hAnsi="Segoe UI Symbol" w:cs="Segoe UI Symbol"/>
        </w:rPr>
        <w:t>⯀</w:t>
      </w:r>
      <w:r>
        <w:t xml:space="preserve"> os prazos de carência. </w:t>
      </w:r>
    </w:p>
    <w:p w14:paraId="015E81E9" w14:textId="75A4E5ED" w:rsidR="00D417C6" w:rsidRDefault="00D417C6" w:rsidP="00D417C6">
      <w:r>
        <w:t>Entendendo que os investidores e os próprios produtos de investimentos devem ser mapeados com um perfil, temos de ressaltar que a CVM veda expressamente a recomendação de produtos de investimento aos clientes:</w:t>
      </w:r>
    </w:p>
    <w:p w14:paraId="258CB710" w14:textId="24FEA68D" w:rsidR="00D417C6" w:rsidRDefault="00D417C6" w:rsidP="00D417C6">
      <w:r>
        <w:rPr>
          <w:rFonts w:ascii="Segoe UI Symbol" w:hAnsi="Segoe UI Symbol" w:cs="Segoe UI Symbol"/>
        </w:rPr>
        <w:t>⯀</w:t>
      </w:r>
      <w:r>
        <w:t xml:space="preserve"> quando o perfil do cliente não for adequado ao produto ou serviço;</w:t>
      </w:r>
    </w:p>
    <w:p w14:paraId="1A401EAD" w14:textId="13927BD2" w:rsidR="00D417C6" w:rsidRDefault="00D417C6" w:rsidP="00D417C6">
      <w:r>
        <w:rPr>
          <w:rFonts w:ascii="Segoe UI Symbol" w:hAnsi="Segoe UI Symbol" w:cs="Segoe UI Symbol"/>
        </w:rPr>
        <w:lastRenderedPageBreak/>
        <w:t>⯀</w:t>
      </w:r>
      <w:r>
        <w:t xml:space="preserve"> na hipótese de não terem sido obtidas as informações que permitam a identificação do perfil do cliente; ou</w:t>
      </w:r>
    </w:p>
    <w:p w14:paraId="08DEDA13" w14:textId="58482F83" w:rsidR="00D417C6" w:rsidRDefault="00D417C6" w:rsidP="00D417C6">
      <w:r>
        <w:rPr>
          <w:rFonts w:ascii="Segoe UI Symbol" w:hAnsi="Segoe UI Symbol" w:cs="Segoe UI Symbol"/>
        </w:rPr>
        <w:t>⯀</w:t>
      </w:r>
      <w:r>
        <w:t xml:space="preserve"> caso as informações relativas ao perfil do cliente não estejam atualizadas</w:t>
      </w:r>
    </w:p>
    <w:p w14:paraId="60C6A43E" w14:textId="58BE1850" w:rsidR="00D417C6" w:rsidRDefault="00D417C6" w:rsidP="00D417C6">
      <w:r>
        <w:t>Alguns pontos importantes sobre a API:</w:t>
      </w:r>
    </w:p>
    <w:p w14:paraId="3DB0551E" w14:textId="07AED215" w:rsidR="00D417C6" w:rsidRDefault="00D417C6" w:rsidP="00D417C6">
      <w:r>
        <w:rPr>
          <w:rFonts w:ascii="Segoe UI Symbol" w:hAnsi="Segoe UI Symbol" w:cs="Segoe UI Symbol"/>
        </w:rPr>
        <w:t>⯀</w:t>
      </w:r>
      <w:r>
        <w:t xml:space="preserve">  a atualização do perfil do investidor e da classificação dos produtos de investimentos devem ser feitas no prazo máximo de 24 meses;</w:t>
      </w:r>
    </w:p>
    <w:p w14:paraId="0B978666" w14:textId="70304AB4" w:rsidR="00D417C6" w:rsidRDefault="00D417C6" w:rsidP="00D417C6">
      <w:r>
        <w:rPr>
          <w:rFonts w:ascii="Segoe UI Symbol" w:hAnsi="Segoe UI Symbol" w:cs="Segoe UI Symbol"/>
        </w:rPr>
        <w:t>⯀</w:t>
      </w:r>
      <w:r>
        <w:t xml:space="preserve"> embora seja vedada a recomendação de produtos de investimentos para investidores sem perfil atualizado, a aplicação de recursos, por ordem do investidor (sem a recomendação), pode ser realizada.</w:t>
      </w:r>
    </w:p>
    <w:p w14:paraId="0CAB5FD1" w14:textId="0DE28E9C" w:rsidR="00D417C6" w:rsidRDefault="00D417C6" w:rsidP="00D417C6">
      <w:r>
        <w:t>Quando o investidor ordenar a realização do investimento e não tiver o perfil devidamente preenchido, ou com o perfil desatualizado, você deve:</w:t>
      </w:r>
    </w:p>
    <w:p w14:paraId="5AFBCF6D" w14:textId="379C9A91" w:rsidR="00D417C6" w:rsidRDefault="00D417C6" w:rsidP="00D417C6">
      <w:r>
        <w:rPr>
          <w:rFonts w:ascii="Segoe UI Symbol" w:hAnsi="Segoe UI Symbol" w:cs="Segoe UI Symbol"/>
        </w:rPr>
        <w:t>⯀</w:t>
      </w:r>
      <w:r>
        <w:t xml:space="preserve"> obter declaração expressa do cliente de que ele está ciente da ausência, desatualização ou inadequação de seu perfil; </w:t>
      </w:r>
    </w:p>
    <w:p w14:paraId="13AD03AE" w14:textId="6EFB3E94" w:rsidR="00D417C6" w:rsidRDefault="00D417C6" w:rsidP="00D417C6">
      <w:r>
        <w:rPr>
          <w:rFonts w:ascii="Segoe UI Symbol" w:hAnsi="Segoe UI Symbol" w:cs="Segoe UI Symbol"/>
        </w:rPr>
        <w:t>⯀</w:t>
      </w:r>
      <w:r>
        <w:t xml:space="preserve"> alertar o cliente, com indicação clara das causas de divergência, acerca da ausência de perfil definido.</w:t>
      </w:r>
    </w:p>
    <w:p w14:paraId="257011F2" w14:textId="2D6DF921" w:rsidR="00D417C6" w:rsidRDefault="00D417C6" w:rsidP="00D417C6">
      <w:r>
        <w:t>Com essa previsão, a CVM entende que está protegendo ao menos a confiança no sistema financeiro, pois o cliente fica expressamente ciente de que está agindo fora das recomendações emitidas por integrantes do sistema de distribuição e pelos consultores de valores mobiliários.</w:t>
      </w:r>
    </w:p>
    <w:p w14:paraId="15A8ED7F" w14:textId="013F82DF" w:rsidR="00D417C6" w:rsidRDefault="00D417C6" w:rsidP="00D417C6">
      <w:r>
        <w:t>Ademais, isso é feito sem privá-lo de acessar determinadas operações, evitando o que poderia ser visto como limitação arbitrária e injusta. Essa foi, portanto, a saída encontrada pelo regulador para tutelar o bem jurídico que a regulação busca proteger ao menor custo possível à liberdade econômica dos clientes do sistema financeiro.</w:t>
      </w:r>
    </w:p>
    <w:p w14:paraId="393043E1" w14:textId="0D0483C3" w:rsidR="00D417C6" w:rsidRDefault="00D417C6" w:rsidP="00D417C6">
      <w:r>
        <w:t>Quanto a regras, procedimentos e controles internos obrigatórios, tem-se que as pessoas habilitadas a atuar como integrantes do sistema de distribuição e os consultores de valores mobiliários que se organizem sob a forma de Pessoa Jurídica são obrigadas a:</w:t>
      </w:r>
    </w:p>
    <w:p w14:paraId="66463198" w14:textId="7C8C4CDF" w:rsidR="00D417C6" w:rsidRDefault="00D417C6" w:rsidP="00D417C6">
      <w:r>
        <w:t xml:space="preserve">1. Estabelecer regras e procedimentos escritos, bem como controles internos passíveis de verificação, que permitam o pleno cumprimento do dever de verificação da adequação do perfil do investidor. </w:t>
      </w:r>
    </w:p>
    <w:p w14:paraId="74FB4463" w14:textId="0E206D0F" w:rsidR="00D417C6" w:rsidRDefault="00D417C6" w:rsidP="00D417C6">
      <w:r>
        <w:t xml:space="preserve">2. Adotar políticas internas específicas relacionadas à recomendação de produtos complexos, que ressaltam, no mínimo: </w:t>
      </w:r>
    </w:p>
    <w:p w14:paraId="29E6C299" w14:textId="40295EA3" w:rsidR="00D417C6" w:rsidRDefault="00D417C6" w:rsidP="00D417C6">
      <w:r>
        <w:rPr>
          <w:rFonts w:ascii="Segoe UI Symbol" w:hAnsi="Segoe UI Symbol" w:cs="Segoe UI Symbol"/>
        </w:rPr>
        <w:t>⯀</w:t>
      </w:r>
      <w:r>
        <w:t xml:space="preserve"> os riscos da estrutura em comparação com a de produtos tradicionais; e </w:t>
      </w:r>
    </w:p>
    <w:p w14:paraId="44E12281" w14:textId="7716C8FC" w:rsidR="00D417C6" w:rsidRDefault="00D417C6" w:rsidP="00D417C6">
      <w:r>
        <w:rPr>
          <w:rFonts w:ascii="Segoe UI Symbol" w:hAnsi="Segoe UI Symbol" w:cs="Segoe UI Symbol"/>
        </w:rPr>
        <w:t>⯀</w:t>
      </w:r>
      <w:r>
        <w:t xml:space="preserve"> a dificuldade em se determinar seu valor, inclusive em razão de sua baixa liquidez; </w:t>
      </w:r>
    </w:p>
    <w:p w14:paraId="0BF5979E" w14:textId="77777777" w:rsidR="00D417C6" w:rsidRDefault="00D417C6" w:rsidP="00D417C6">
      <w:r>
        <w:rPr>
          <w:rFonts w:ascii="Segoe UI Symbol" w:hAnsi="Segoe UI Symbol" w:cs="Segoe UI Symbol"/>
        </w:rPr>
        <w:t>⯀</w:t>
      </w:r>
      <w:r>
        <w:t xml:space="preserve"> indicar um diretor estatutário responsável pelo cumprimento das normas estabelecidas pela Instrução CVM 539</w:t>
      </w:r>
    </w:p>
    <w:p w14:paraId="3A921672" w14:textId="1A8B8FC2" w:rsidR="00D417C6" w:rsidRDefault="00D417C6" w:rsidP="00D417C6">
      <w:r>
        <w:t>É importante notar que o diretor indicado à CVM como responsável pela elaboração e observância das regras de suitability deve ter sua nomeação ou substituição informada à CVM no prazo de sete dias úteis]</w:t>
      </w:r>
    </w:p>
    <w:p w14:paraId="2550C015" w14:textId="77777777" w:rsidR="00D417C6" w:rsidRDefault="00D417C6" w:rsidP="00D417C6">
      <w:r>
        <w:lastRenderedPageBreak/>
        <w:t>Igualmente, esse diretor deve encaminhar aos órgãos de administração da sua instituição, até o último dia útil do mês de abril, relatório relativo ao ano civil anterior à data de entrega, contendo, no mínimo:</w:t>
      </w:r>
    </w:p>
    <w:p w14:paraId="7885008F" w14:textId="77777777" w:rsidR="00D417C6" w:rsidRDefault="00D417C6" w:rsidP="00D417C6">
      <w:r>
        <w:rPr>
          <w:rFonts w:ascii="Segoe UI Symbol" w:hAnsi="Segoe UI Symbol" w:cs="Segoe UI Symbol"/>
        </w:rPr>
        <w:t>⯀</w:t>
      </w:r>
      <w:r>
        <w:t xml:space="preserve"> uma avaliação do cumprimento pela pessoa jurídica de regras, procedimentos e controles internos de suitability.</w:t>
      </w:r>
    </w:p>
    <w:p w14:paraId="28C7C70C" w14:textId="05E41879" w:rsidR="00D417C6" w:rsidRDefault="00D417C6" w:rsidP="00D417C6">
      <w:r>
        <w:rPr>
          <w:rFonts w:ascii="Segoe UI Symbol" w:hAnsi="Segoe UI Symbol" w:cs="Segoe UI Symbol"/>
        </w:rPr>
        <w:t>⯀</w:t>
      </w:r>
      <w:r>
        <w:t xml:space="preserve"> as recomendações a respeito de eventuais de deficiências, com o estabelecimento de cronogramas de resolução dessas.</w:t>
      </w:r>
    </w:p>
    <w:p w14:paraId="132BD2C8" w14:textId="77777777" w:rsidR="00D417C6" w:rsidRDefault="00D417C6" w:rsidP="00D417C6">
      <w:r>
        <w:t>É importante notar que o dever de verificação da adequação dos produtos, serviços e operações ao perfil do cliente é dispensável nos seguintes casos:</w:t>
      </w:r>
    </w:p>
    <w:p w14:paraId="007A9747" w14:textId="76A3F1D0" w:rsidR="00D417C6" w:rsidRDefault="00D417C6" w:rsidP="00D417C6">
      <w:r>
        <w:rPr>
          <w:rFonts w:ascii="Segoe UI Symbol" w:hAnsi="Segoe UI Symbol" w:cs="Segoe UI Symbol"/>
        </w:rPr>
        <w:t>⯀</w:t>
      </w:r>
      <w:r>
        <w:t xml:space="preserve">  se o cliente for investidor qualificado; </w:t>
      </w:r>
    </w:p>
    <w:p w14:paraId="73A79934" w14:textId="353969FD" w:rsidR="00D417C6" w:rsidRDefault="00D417C6" w:rsidP="00D417C6">
      <w:r>
        <w:rPr>
          <w:rFonts w:ascii="Segoe UI Symbol" w:hAnsi="Segoe UI Symbol" w:cs="Segoe UI Symbol"/>
        </w:rPr>
        <w:t>⯀</w:t>
      </w:r>
      <w:r>
        <w:t xml:space="preserve"> se o cliente for investidor profissional; </w:t>
      </w:r>
    </w:p>
    <w:p w14:paraId="7FAD530D" w14:textId="77777777" w:rsidR="00D417C6" w:rsidRDefault="00D417C6" w:rsidP="00D417C6">
      <w:r>
        <w:rPr>
          <w:rFonts w:ascii="Segoe UI Symbol" w:hAnsi="Segoe UI Symbol" w:cs="Segoe UI Symbol"/>
        </w:rPr>
        <w:t>⯀</w:t>
      </w:r>
      <w:r>
        <w:t xml:space="preserve"> se o cliente for Pessoa Jurídica de direito público</w:t>
      </w:r>
    </w:p>
    <w:p w14:paraId="4BD5A28C" w14:textId="202B3914" w:rsidR="00D417C6" w:rsidRDefault="00D417C6" w:rsidP="00D417C6">
      <w:r>
        <w:rPr>
          <w:rFonts w:ascii="Segoe UI Symbol" w:hAnsi="Segoe UI Symbol" w:cs="Segoe UI Symbol"/>
        </w:rPr>
        <w:t>⯀</w:t>
      </w:r>
      <w:r>
        <w:t xml:space="preserve"> se o cliente tiver sua carteira de valores mobiliários administrada por administrador de carteira de valores mobiliários autorizado pela CVM.</w:t>
      </w:r>
    </w:p>
    <w:p w14:paraId="78301D4B" w14:textId="44CBF0DA" w:rsidR="00D417C6" w:rsidRDefault="00D417C6" w:rsidP="00D417C6">
      <w:r>
        <w:t>Essas dispensas fazem sentido na medida em que se referem a agentes econômicos de grande conhecimento ou capacidade de análise, entendidos como plenamente capazes de verificar os produtos e serviços que são adequados ou não a si.</w:t>
      </w:r>
    </w:p>
    <w:p w14:paraId="5EE3C644" w14:textId="2BEEF2C5" w:rsidR="00D417C6" w:rsidRDefault="00D417C6" w:rsidP="00D417C6">
      <w:r>
        <w:rPr>
          <w:noProof/>
        </w:rPr>
        <w:drawing>
          <wp:inline distT="0" distB="0" distL="0" distR="0" wp14:anchorId="46D5A7B3" wp14:editId="448F7018">
            <wp:extent cx="5400040" cy="332359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3323590"/>
                    </a:xfrm>
                    <a:prstGeom prst="rect">
                      <a:avLst/>
                    </a:prstGeom>
                    <a:noFill/>
                    <a:ln>
                      <a:noFill/>
                    </a:ln>
                  </pic:spPr>
                </pic:pic>
              </a:graphicData>
            </a:graphic>
          </wp:inline>
        </w:drawing>
      </w:r>
    </w:p>
    <w:p w14:paraId="08E42E5C" w14:textId="25F3E699" w:rsidR="00D417C6" w:rsidRPr="005B713A" w:rsidRDefault="005B713A" w:rsidP="00D417C6">
      <w:pPr>
        <w:rPr>
          <w:b/>
          <w:bCs/>
          <w:u w:val="single"/>
        </w:rPr>
      </w:pPr>
      <w:r w:rsidRPr="005B713A">
        <w:rPr>
          <w:b/>
          <w:bCs/>
          <w:u w:val="single"/>
        </w:rPr>
        <w:t>Adequação dos Produtos de Investimento</w:t>
      </w:r>
    </w:p>
    <w:p w14:paraId="21EDCAC7" w14:textId="1EC60CCD" w:rsidR="005B713A" w:rsidRDefault="005B713A" w:rsidP="005B713A">
      <w:r>
        <w:t>FATORES PARA ADEQUAÇÃO DE PRODUTOS DE INVESTIMENTO</w:t>
      </w:r>
    </w:p>
    <w:p w14:paraId="3A89049E" w14:textId="77777777" w:rsidR="005B713A" w:rsidRDefault="005B713A" w:rsidP="005B713A">
      <w:r>
        <w:t>Agora que já falamos sobre as características de produtos de investimentos, precisamos responder a pergunta que vale um milhão de reais. Qual é o melhor investimento que existe?</w:t>
      </w:r>
    </w:p>
    <w:p w14:paraId="3582F073" w14:textId="77777777" w:rsidR="005B713A" w:rsidRDefault="005B713A" w:rsidP="005B713A"/>
    <w:p w14:paraId="290F4884" w14:textId="42B116D7" w:rsidR="005B713A" w:rsidRDefault="005B713A" w:rsidP="005B713A">
      <w:r>
        <w:lastRenderedPageBreak/>
        <w:t>Deixa eu te avisar uma coisa importante: agora que você será um profissional certificado pela Anbima, em toda reunião familiar, virá aquela tia solteirona, ou aquele primo que vive enrolado perguntar para você qual é o melhor investimento que existe.</w:t>
      </w:r>
    </w:p>
    <w:p w14:paraId="0702B13D" w14:textId="09D16F8C" w:rsidR="005B713A" w:rsidRDefault="005B713A" w:rsidP="005B713A">
      <w:r>
        <w:t>A resposta para isso é: não existe um melhor investimento. O que existe é o melhor investimento para você em determinado momento.</w:t>
      </w:r>
    </w:p>
    <w:p w14:paraId="3C105B2A" w14:textId="0B745AF0" w:rsidR="005B713A" w:rsidRDefault="005B713A" w:rsidP="005B713A">
      <w:r>
        <w:t>Estou querendo dizer que TODOS os produtos disponíveis no mercado financeiro são produtos que atendem uma necessidade específica de investimento. Ou seja, mais importante do que saber falar do produto é saber entender a necessidade do seu cliente.</w:t>
      </w:r>
    </w:p>
    <w:p w14:paraId="68C03DCE" w14:textId="7B692318" w:rsidR="005B713A" w:rsidRDefault="005B713A" w:rsidP="005B713A">
      <w:r>
        <w:t>Os objetivos dos investidores devem, sempre, ser olhados em primeiro lugar para fazer a adequação.</w:t>
      </w:r>
    </w:p>
    <w:p w14:paraId="293CD9E6" w14:textId="56830524" w:rsidR="005B713A" w:rsidRDefault="005B713A" w:rsidP="005B713A">
      <w:r>
        <w:t>Vamos a alguns exemplos:</w:t>
      </w:r>
    </w:p>
    <w:p w14:paraId="2FE440B3" w14:textId="13F26E6D" w:rsidR="005B713A" w:rsidRDefault="005B713A" w:rsidP="005B713A">
      <w:r>
        <w:t>Um investidor que queira investir seu dinheiro para pagar uma viagem que acontecerá em 6 meses, é um investidor que, com certeza, precisa priorizar um investimento que tenha alta liquidez. Ao passo que o investidor que está investindo para sua aposentadoria, que acontecerá em 30 anos, pode escolher produtos que ofereçam menos liquidez, em troca de buscar um rendimento maior, faz sentido?</w:t>
      </w:r>
    </w:p>
    <w:p w14:paraId="383CE1D7" w14:textId="6411A4F6" w:rsidR="005B713A" w:rsidRDefault="005B713A" w:rsidP="005B713A">
      <w:r>
        <w:t>Então, quando o investidor tem um tempo longo para investir, dizemos que seu horizonte de investimento é longo.</w:t>
      </w:r>
    </w:p>
    <w:p w14:paraId="234DB39B" w14:textId="200B142C" w:rsidR="005B713A" w:rsidRDefault="005B713A" w:rsidP="005B713A">
      <w:r>
        <w:t>Para recomendar um produto de investimento, temos de conhecer então:</w:t>
      </w:r>
    </w:p>
    <w:p w14:paraId="7248E9C1" w14:textId="7EFF5496" w:rsidR="005B713A" w:rsidRDefault="005B713A" w:rsidP="005B713A">
      <w:r>
        <w:t>1. Horizonte de investimento;</w:t>
      </w:r>
    </w:p>
    <w:p w14:paraId="14C2CEAA" w14:textId="421D7431" w:rsidR="005B713A" w:rsidRDefault="005B713A" w:rsidP="005B713A">
      <w:r>
        <w:t>2. Capacidade de assumir riscos;</w:t>
      </w:r>
    </w:p>
    <w:p w14:paraId="7463DE30" w14:textId="1BCDD2D2" w:rsidR="005B713A" w:rsidRDefault="005B713A" w:rsidP="005B713A">
      <w:r>
        <w:t>3. Situação financeira do investidor;</w:t>
      </w:r>
    </w:p>
    <w:p w14:paraId="30B738D3" w14:textId="245D0810" w:rsidR="005B713A" w:rsidRDefault="005B713A" w:rsidP="005B713A">
      <w:r>
        <w:t>4. Conhecimento de mercado.</w:t>
      </w:r>
    </w:p>
    <w:p w14:paraId="18E23DAC" w14:textId="411D5C79" w:rsidR="005B713A" w:rsidRDefault="005B713A" w:rsidP="005B713A">
      <w:r>
        <w:t>Para conhecer melhor a situação financeira do investidor vamos tratar de finanças pessoais. Voltaremos a esse assunto com detalhes, na aula de suitability dentro do código de regulação e melhores práticas que será abordado no final do módulo 6</w:t>
      </w:r>
      <w:r>
        <w:t>.</w:t>
      </w:r>
    </w:p>
    <w:p w14:paraId="1E7172D0" w14:textId="1C91B83E" w:rsidR="005B713A" w:rsidRDefault="005B713A" w:rsidP="005B713A">
      <w:r>
        <w:rPr>
          <w:noProof/>
        </w:rPr>
        <w:drawing>
          <wp:inline distT="0" distB="0" distL="0" distR="0" wp14:anchorId="4BCD7AFC" wp14:editId="62D4A467">
            <wp:extent cx="5391150" cy="234315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1150" cy="2343150"/>
                    </a:xfrm>
                    <a:prstGeom prst="rect">
                      <a:avLst/>
                    </a:prstGeom>
                    <a:noFill/>
                    <a:ln>
                      <a:noFill/>
                    </a:ln>
                  </pic:spPr>
                </pic:pic>
              </a:graphicData>
            </a:graphic>
          </wp:inline>
        </w:drawing>
      </w:r>
    </w:p>
    <w:p w14:paraId="1D55D939" w14:textId="79863D2D" w:rsidR="005B713A" w:rsidRDefault="005B713A" w:rsidP="005B713A"/>
    <w:p w14:paraId="2DE5DBF0" w14:textId="2379C9CC" w:rsidR="005B713A" w:rsidRPr="0095755A" w:rsidRDefault="0095755A" w:rsidP="005B713A">
      <w:pPr>
        <w:rPr>
          <w:b/>
          <w:bCs/>
          <w:u w:val="single"/>
        </w:rPr>
      </w:pPr>
      <w:r w:rsidRPr="0095755A">
        <w:rPr>
          <w:b/>
          <w:bCs/>
          <w:u w:val="single"/>
        </w:rPr>
        <w:lastRenderedPageBreak/>
        <w:t>Restrições Do Investidor: Idade, Horizonte de Investimento, Conhecimento do Produto e Tolerância Ao Risco</w:t>
      </w:r>
    </w:p>
    <w:p w14:paraId="7A4F6BEA" w14:textId="4CF95CD6" w:rsidR="0095755A" w:rsidRDefault="0095755A" w:rsidP="0095755A">
      <w:r>
        <w:t xml:space="preserve">Dentro da proposta de uma conduta ética que visa zelar pela relação de longo prazo com os clientes, o sistema financeiro e seus profissionais devem, independentemente de qualquer imposição regulatória, calibrar as recomendações que fazem aos clientes a necessidades, anseios e limitações deles. </w:t>
      </w:r>
    </w:p>
    <w:p w14:paraId="1A9F59A5" w14:textId="3260F73B" w:rsidR="0095755A" w:rsidRDefault="0095755A" w:rsidP="0095755A">
      <w:r>
        <w:t xml:space="preserve">Nesse sentido, importa analisarmos quatro variáveis comuns a qualquer cliente: idade, horizonte de investimento, conhecimento do produto e tolerância ao risco. </w:t>
      </w:r>
    </w:p>
    <w:p w14:paraId="7947EDF2" w14:textId="5EDF2A27" w:rsidR="0095755A" w:rsidRDefault="0095755A" w:rsidP="0095755A">
      <w:r>
        <w:rPr>
          <w:rFonts w:ascii="Segoe UI Symbol" w:hAnsi="Segoe UI Symbol" w:cs="Segoe UI Symbol"/>
        </w:rPr>
        <w:t>⯀</w:t>
      </w:r>
      <w:r>
        <w:t xml:space="preserve"> Idade: para uma recomendação assertiva de um produto de investimento, levamos em consideração a idade do investidor. Um jovem que está em fase de acumulação de capital e tem renda ativa, teria mais disposição a assumir alguns riscos que um senhor de 80 anos, aposentado. </w:t>
      </w:r>
    </w:p>
    <w:p w14:paraId="6FB279F9" w14:textId="5ED2FA74" w:rsidR="0095755A" w:rsidRDefault="0095755A" w:rsidP="0095755A">
      <w:r>
        <w:rPr>
          <w:rFonts w:ascii="Segoe UI Symbol" w:hAnsi="Segoe UI Symbol" w:cs="Segoe UI Symbol"/>
        </w:rPr>
        <w:t>⯀</w:t>
      </w:r>
      <w:r>
        <w:t xml:space="preserve"> Horizonte de investimento: a palavra “horizonte” em nosso mercado pode ser traduzida por tempo. Por isso, horizonte de investimento seria o tempo que o investidor irá precisar do seu recurso. Se o investidor está investindo recursos para uma viagem que acontecerá em 3 meses, não se pode alocar os recursos desse investidor em produtos com vencimento mais longo e sem possibilidade de resgate. Ao passo que um investidor jovem que investe para sua aposentadoria, que está programada para acontecer em 30 anos, estará mais disposto a assumir um produto de investimento com vencimento maior. </w:t>
      </w:r>
    </w:p>
    <w:p w14:paraId="31E89463" w14:textId="16373402" w:rsidR="0095755A" w:rsidRDefault="0095755A" w:rsidP="0095755A">
      <w:r>
        <w:rPr>
          <w:rFonts w:ascii="Segoe UI Symbol" w:hAnsi="Segoe UI Symbol" w:cs="Segoe UI Symbol"/>
        </w:rPr>
        <w:t>⯀</w:t>
      </w:r>
      <w:r>
        <w:t xml:space="preserve"> Conhecimento do produto: não se pode esperar que o cliente tenha um conhecimento prévio do produto que está adquirindo. No entanto, espera-se que você, enquanto profissional do Mercado Financeiro certificado pela ANBIMA, informe ao cliente todas as condições do produto. Em razão disso, é inadequado sugerir produtos de maior complexidade para clientes com conhecimentos e experiência de investimentos limitados. </w:t>
      </w:r>
    </w:p>
    <w:p w14:paraId="5EBBB289" w14:textId="10CCA734" w:rsidR="0095755A" w:rsidRDefault="0095755A" w:rsidP="0095755A">
      <w:r>
        <w:rPr>
          <w:rFonts w:ascii="Segoe UI Symbol" w:hAnsi="Segoe UI Symbol" w:cs="Segoe UI Symbol"/>
        </w:rPr>
        <w:t>⯀</w:t>
      </w:r>
      <w:r>
        <w:t xml:space="preserve"> Tolerância ao risco: eu tenho pavor de altura e, por isso, pular de paraquedas é uma experiência que eu não recomendo. No entanto, essa adrenalina pode fazer muito bem a algumas pessoas. E no Mercado Financeiro a lógica é a mesma. Ao passo que alguns investidores têm um apetite maior para produtos mais arrojados, temos investidores que são conservadores e não estão dispostos a assumir riscos com investimentos.</w:t>
      </w:r>
    </w:p>
    <w:p w14:paraId="123F60FE" w14:textId="156B65BF" w:rsidR="0095755A" w:rsidRDefault="0095755A" w:rsidP="0095755A">
      <w:r>
        <w:t>Para ajudar no mapeamento do investidor e ser uma ferramenta importante na adequação, à CVM, através da instrução normativa 539, vai regular a análise do perfil do investidor, que veremos mais adiante.</w:t>
      </w:r>
    </w:p>
    <w:p w14:paraId="542B085B" w14:textId="7C4A5F02" w:rsidR="0095755A" w:rsidRDefault="0095755A" w:rsidP="0095755A">
      <w:r>
        <w:rPr>
          <w:noProof/>
        </w:rPr>
        <w:drawing>
          <wp:inline distT="0" distB="0" distL="0" distR="0" wp14:anchorId="1A9F522B" wp14:editId="11759958">
            <wp:extent cx="5400040" cy="1971675"/>
            <wp:effectExtent l="0" t="0" r="0" b="952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1971675"/>
                    </a:xfrm>
                    <a:prstGeom prst="rect">
                      <a:avLst/>
                    </a:prstGeom>
                    <a:noFill/>
                    <a:ln>
                      <a:noFill/>
                    </a:ln>
                  </pic:spPr>
                </pic:pic>
              </a:graphicData>
            </a:graphic>
          </wp:inline>
        </w:drawing>
      </w:r>
    </w:p>
    <w:p w14:paraId="4C2BDD44" w14:textId="530D5341" w:rsidR="0095755A" w:rsidRPr="0095755A" w:rsidRDefault="0095755A" w:rsidP="0095755A">
      <w:pPr>
        <w:rPr>
          <w:b/>
          <w:bCs/>
          <w:u w:val="single"/>
        </w:rPr>
      </w:pPr>
      <w:r w:rsidRPr="0095755A">
        <w:rPr>
          <w:b/>
          <w:bCs/>
          <w:u w:val="single"/>
        </w:rPr>
        <w:lastRenderedPageBreak/>
        <w:t>Risco x Retorno e a Capacidade de Assumir Riscos</w:t>
      </w:r>
    </w:p>
    <w:p w14:paraId="571E764C" w14:textId="41BF54D0" w:rsidR="0095755A" w:rsidRDefault="0095755A" w:rsidP="0095755A">
      <w:r>
        <w:t>RI</w:t>
      </w:r>
      <w:r>
        <w:t>S</w:t>
      </w:r>
      <w:r>
        <w:t>CO X RETORNO</w:t>
      </w:r>
    </w:p>
    <w:p w14:paraId="7A4D9915" w14:textId="77777777" w:rsidR="0095755A" w:rsidRDefault="0095755A" w:rsidP="0095755A">
      <w:r>
        <w:t>Risco é a probabilidade do retorno do investimento ser diferente do esperado. Está associado ao grau de incerteza do investimento no futuro.É possível diminuir o risco através da diversificação.</w:t>
      </w:r>
    </w:p>
    <w:p w14:paraId="4E89C231" w14:textId="77777777" w:rsidR="0095755A" w:rsidRDefault="0095755A" w:rsidP="0095755A">
      <w:r>
        <w:t>O Risco e o Retrorno sossuem correlação direta. Investimentos que apresentam maiores riscos TENDEM apresentar maiores retornos.</w:t>
      </w:r>
    </w:p>
    <w:p w14:paraId="0F9A07EE" w14:textId="77777777" w:rsidR="0095755A" w:rsidRDefault="0095755A" w:rsidP="0095755A">
      <w:r>
        <w:t>Por Exemplo: Enquanto a poupança apresenta maior segurança, investimentos mais arriscados como em renda variável mostram retornos maiores ao longo prazo.</w:t>
      </w:r>
    </w:p>
    <w:p w14:paraId="5C545235" w14:textId="77777777" w:rsidR="0095755A" w:rsidRDefault="0095755A" w:rsidP="0095755A">
      <w:r>
        <w:t>Investimentos com retornos elevados e risco baixo, atrairão muitos investidores fazendo com que o retorno diminua.</w:t>
      </w:r>
    </w:p>
    <w:p w14:paraId="77898857" w14:textId="77777777" w:rsidR="0095755A" w:rsidRDefault="0095755A" w:rsidP="0095755A">
      <w:r>
        <w:t>CAPACIDADE DE ASSUMIR RISCOS</w:t>
      </w:r>
    </w:p>
    <w:p w14:paraId="2CA5CC05" w14:textId="77777777" w:rsidR="0095755A" w:rsidRDefault="0095755A" w:rsidP="0095755A">
      <w:r>
        <w:t>É o nível de risco suportável pelo investidor.</w:t>
      </w:r>
    </w:p>
    <w:p w14:paraId="1C314FBE" w14:textId="77777777" w:rsidR="0095755A" w:rsidRDefault="0095755A" w:rsidP="0095755A">
      <w:r>
        <w:t>Você ainda alcançaria seus objetivos se algum acontecimento ruim acontecer?</w:t>
      </w:r>
    </w:p>
    <w:p w14:paraId="1272EE7C" w14:textId="77777777" w:rsidR="0095755A" w:rsidRDefault="0095755A" w:rsidP="0095755A">
      <w:r>
        <w:t>Considera os fatores:</w:t>
      </w:r>
    </w:p>
    <w:p w14:paraId="00FBB98C" w14:textId="77777777" w:rsidR="0095755A" w:rsidRDefault="0095755A" w:rsidP="0095755A">
      <w:r>
        <w:t>Condição financeira atual;</w:t>
      </w:r>
    </w:p>
    <w:p w14:paraId="5409E13C" w14:textId="77777777" w:rsidR="0095755A" w:rsidRDefault="0095755A" w:rsidP="0095755A">
      <w:r>
        <w:t>Prazo de investimento;</w:t>
      </w:r>
    </w:p>
    <w:p w14:paraId="1A12AF8A" w14:textId="77777777" w:rsidR="0095755A" w:rsidRDefault="0095755A" w:rsidP="0095755A">
      <w:r>
        <w:t>Objetivos de retornos;</w:t>
      </w:r>
    </w:p>
    <w:p w14:paraId="59E4FFEC" w14:textId="77777777" w:rsidR="0095755A" w:rsidRDefault="0095755A" w:rsidP="0095755A">
      <w:r>
        <w:t>Tolerância ao risco.</w:t>
      </w:r>
    </w:p>
    <w:p w14:paraId="413AE2D1" w14:textId="77777777" w:rsidR="0095755A" w:rsidRDefault="0095755A" w:rsidP="0095755A">
      <w:r>
        <w:t>Vale destacar a diferença entre capacidade e tolerância de assumir riscos.</w:t>
      </w:r>
    </w:p>
    <w:p w14:paraId="55573144" w14:textId="77777777" w:rsidR="0095755A" w:rsidRDefault="0095755A" w:rsidP="0095755A">
      <w:r>
        <w:t>A capacidade está vinculada ao risco que o investidor pode suportar, com seus recursos e capacidades.</w:t>
      </w:r>
    </w:p>
    <w:p w14:paraId="4C4E704C" w14:textId="5255F9C5" w:rsidR="0095755A" w:rsidRDefault="0095755A" w:rsidP="0095755A">
      <w:r>
        <w:t xml:space="preserve">A tolerância está </w:t>
      </w:r>
      <w:r>
        <w:t>vinculada</w:t>
      </w:r>
      <w:r>
        <w:t xml:space="preserve"> a disposição de assumir riscos e possui relação com o perfil do investidor: conservador, moderado ou arrojado.</w:t>
      </w:r>
    </w:p>
    <w:p w14:paraId="475BEC4F" w14:textId="5074B839" w:rsidR="0095755A" w:rsidRDefault="0095755A" w:rsidP="0095755A">
      <w:r>
        <w:rPr>
          <w:noProof/>
        </w:rPr>
        <w:drawing>
          <wp:inline distT="0" distB="0" distL="0" distR="0" wp14:anchorId="1832A660" wp14:editId="373339BF">
            <wp:extent cx="5391150" cy="2009775"/>
            <wp:effectExtent l="0" t="0" r="0" b="952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1150" cy="2009775"/>
                    </a:xfrm>
                    <a:prstGeom prst="rect">
                      <a:avLst/>
                    </a:prstGeom>
                    <a:noFill/>
                    <a:ln>
                      <a:noFill/>
                    </a:ln>
                  </pic:spPr>
                </pic:pic>
              </a:graphicData>
            </a:graphic>
          </wp:inline>
        </w:drawing>
      </w:r>
    </w:p>
    <w:p w14:paraId="32C3093E" w14:textId="77777777" w:rsidR="0095755A" w:rsidRDefault="0095755A" w:rsidP="0095755A"/>
    <w:p w14:paraId="49CF3745" w14:textId="77777777" w:rsidR="0095755A" w:rsidRDefault="0095755A" w:rsidP="0095755A"/>
    <w:p w14:paraId="28CC51FA" w14:textId="2D882A1C" w:rsidR="0095755A" w:rsidRDefault="0095755A" w:rsidP="0095755A">
      <w:r w:rsidRPr="0095755A">
        <w:lastRenderedPageBreak/>
        <w:t>Teoria de Diversificação de Carteiras</w:t>
      </w:r>
    </w:p>
    <w:p w14:paraId="5619B263" w14:textId="6C1F42DA" w:rsidR="0095755A" w:rsidRDefault="0095755A" w:rsidP="0095755A">
      <w:r>
        <w:t>TEORIA DA DIVERSISFICAÇÃO DE CARTEIRAS</w:t>
      </w:r>
    </w:p>
    <w:p w14:paraId="6FCE10E3" w14:textId="29097D79" w:rsidR="0095755A" w:rsidRDefault="0095755A" w:rsidP="0095755A">
      <w:r>
        <w:t>Para entendermos a teoria de diversificação de carteira, precisamos lembrar primeiro o que é diversificação.</w:t>
      </w:r>
    </w:p>
    <w:p w14:paraId="4D375ADB" w14:textId="1311B2EA" w:rsidR="0095755A" w:rsidRDefault="0095755A" w:rsidP="0095755A">
      <w:r>
        <w:t>Diversificação é distribuir o capital entre diferentes ativos do mercado financeiro, com o intuito de maximizar os retornos e minimizar os riscos ao longo do tempo.</w:t>
      </w:r>
    </w:p>
    <w:p w14:paraId="655ECAD6" w14:textId="795027BF" w:rsidR="0095755A" w:rsidRDefault="0095755A" w:rsidP="0095755A">
      <w:r>
        <w:t>O grau de diversificação dependerá de fatores pessoais e do mercado em que o investidor se encontra.</w:t>
      </w:r>
    </w:p>
    <w:p w14:paraId="730C8370" w14:textId="668AE3C0" w:rsidR="0095755A" w:rsidRDefault="0095755A" w:rsidP="0095755A">
      <w:r>
        <w:t>Ela evita que o investidor acabe investindo em ativos que são expostos ao mesmo tipo de risco, ou que possuem a mesma oscilação conforme os acontecimentos do mercado.</w:t>
      </w:r>
    </w:p>
    <w:p w14:paraId="2D66001F" w14:textId="3C56BC84" w:rsidR="0095755A" w:rsidRDefault="0095755A" w:rsidP="0095755A">
      <w:r>
        <w:t>Nesse caso, estamos falando do risco diversificável, ou seja, os riscos não sistemáticos.</w:t>
      </w:r>
    </w:p>
    <w:p w14:paraId="7950DD29" w14:textId="0659C13C" w:rsidR="0095755A" w:rsidRDefault="0095755A" w:rsidP="0095755A">
      <w:r>
        <w:t>No caso dos riscos sistemático não possui esse mecanismo de proteção, como por exemplo: crises econômicas, crises política, pandemias, entre outros</w:t>
      </w:r>
    </w:p>
    <w:p w14:paraId="1FBC204F" w14:textId="4A464F37" w:rsidR="0095755A" w:rsidRDefault="0095755A" w:rsidP="0095755A">
      <w:r>
        <w:t>A partir de um estudo referente a construção de portfólios de investimento e o efeito da diversificação, levaram um economista chamado Markowitz criar a Teoria Moderna do Portfólio.</w:t>
      </w:r>
    </w:p>
    <w:p w14:paraId="4AD3B836" w14:textId="79945323" w:rsidR="0095755A" w:rsidRDefault="0095755A" w:rsidP="0095755A">
      <w:r>
        <w:t>E o que seria a Teoria Moderna do Portfólio?</w:t>
      </w:r>
    </w:p>
    <w:p w14:paraId="6468411D" w14:textId="729BACD9" w:rsidR="0095755A" w:rsidRDefault="0095755A" w:rsidP="0095755A">
      <w:r>
        <w:t>Essa teoria consiste em criar um portfólio de investimento que otimiza e maximiza o seu retorno esperado, de acordo a um determinado nível de risco.</w:t>
      </w:r>
    </w:p>
    <w:p w14:paraId="4E10DFD8" w14:textId="2F412E58" w:rsidR="0095755A" w:rsidRDefault="0095755A" w:rsidP="0095755A">
      <w:r>
        <w:t>Dessa forma é possível analisar a forma que os ativos se comportam em conjunto, ou seja, a correlação dos ativos.</w:t>
      </w:r>
    </w:p>
    <w:p w14:paraId="51C676B9" w14:textId="5942FA97" w:rsidR="0095755A" w:rsidRDefault="0095755A" w:rsidP="0095755A">
      <w:r>
        <w:t>Ativos com correlação negativa se movimentam em direções opostas, apresentando um baixo risco para a carteira.</w:t>
      </w:r>
    </w:p>
    <w:p w14:paraId="45C5826E" w14:textId="77777777" w:rsidR="0095755A" w:rsidRDefault="0095755A" w:rsidP="0095755A">
      <w:r>
        <w:t>Por exemplo: vamos imaginar duas ações do setor bancário, ITUB4 e BBDC4, ambas terão desempenhos parecidos, apresentando uma alta correlação e maior risco para a carteira. Mas, se formos comparar ações de setores diferentes como PETR4, CGRA3 e ITUB4, a correlação entre elas será baixa pois pertencem a setores diferentes, apresentando uma relação de baixo risco para a carteira.</w:t>
      </w:r>
    </w:p>
    <w:p w14:paraId="661421ED" w14:textId="77777777" w:rsidR="0095755A" w:rsidRDefault="0095755A" w:rsidP="0095755A">
      <w:r>
        <w:t>Ainda, temos o conceito da fronteira eficiente, a qual identifica a melhor combinação para o investidor que resulta em um menor nível de volatilidade, ou seja, estabelece uma relação entre risco-retorno do investimento como um todo, e não apenas dos ativos individuais</w:t>
      </w:r>
    </w:p>
    <w:p w14:paraId="50449B1A" w14:textId="77777777" w:rsidR="0095755A" w:rsidRDefault="0095755A" w:rsidP="0095755A">
      <w:r>
        <w:t>Por fim, não podemos deixar de mencionar o conceito de Carteira -ótima, que pode ser entendido como a  tangencia a fronteira eficiente e o índice Sharpe (risco-retorno), gerando o maior nível de retorno possível para o investidor de acordo com suas escolhas.</w:t>
      </w:r>
    </w:p>
    <w:p w14:paraId="7939DD9F" w14:textId="53D1B608" w:rsidR="0095755A" w:rsidRDefault="0095755A" w:rsidP="0095755A">
      <w:r>
        <w:t>Estratégias de Alocação de Ativos:</w:t>
      </w:r>
    </w:p>
    <w:p w14:paraId="3BF81DF0" w14:textId="77777777" w:rsidR="0095755A" w:rsidRDefault="0095755A" w:rsidP="0095755A">
      <w:r>
        <w:t>Ativa, Semi-Ativa, Passiva;</w:t>
      </w:r>
    </w:p>
    <w:p w14:paraId="38A15FB9" w14:textId="77777777" w:rsidR="0095755A" w:rsidRDefault="0095755A" w:rsidP="0095755A">
      <w:r>
        <w:t>Estratégica e Tática;</w:t>
      </w:r>
    </w:p>
    <w:p w14:paraId="21E20663" w14:textId="77777777" w:rsidR="0095755A" w:rsidRDefault="0095755A" w:rsidP="0095755A">
      <w:r>
        <w:lastRenderedPageBreak/>
        <w:t>Dinâmica e Estática;</w:t>
      </w:r>
    </w:p>
    <w:p w14:paraId="771BD70F" w14:textId="77777777" w:rsidR="0095755A" w:rsidRDefault="0095755A" w:rsidP="0095755A">
      <w:r>
        <w:t>Fronteira Eficiente;</w:t>
      </w:r>
    </w:p>
    <w:p w14:paraId="02164527" w14:textId="77777777" w:rsidR="0095755A" w:rsidRDefault="0095755A" w:rsidP="0095755A">
      <w:r>
        <w:t>Monte Carlo;</w:t>
      </w:r>
    </w:p>
    <w:p w14:paraId="5BC4380E" w14:textId="0654925F" w:rsidR="0095755A" w:rsidRDefault="0095755A" w:rsidP="0095755A">
      <w:r>
        <w:t>Asset Liability;</w:t>
      </w:r>
    </w:p>
    <w:p w14:paraId="757FECA6" w14:textId="202D570E" w:rsidR="0095755A" w:rsidRDefault="0095755A" w:rsidP="0095755A">
      <w:r>
        <w:rPr>
          <w:noProof/>
        </w:rPr>
        <w:drawing>
          <wp:inline distT="0" distB="0" distL="0" distR="0" wp14:anchorId="0F63B8D1" wp14:editId="29E9C2CB">
            <wp:extent cx="5391150" cy="3305175"/>
            <wp:effectExtent l="0" t="0" r="0" b="952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1150" cy="3305175"/>
                    </a:xfrm>
                    <a:prstGeom prst="rect">
                      <a:avLst/>
                    </a:prstGeom>
                    <a:noFill/>
                    <a:ln>
                      <a:noFill/>
                    </a:ln>
                  </pic:spPr>
                </pic:pic>
              </a:graphicData>
            </a:graphic>
          </wp:inline>
        </w:drawing>
      </w:r>
    </w:p>
    <w:p w14:paraId="0E12393E" w14:textId="2050C352" w:rsidR="002F21BD" w:rsidRDefault="002F21BD" w:rsidP="002F21BD">
      <w:r>
        <w:t>Finanças pessoais</w:t>
      </w:r>
    </w:p>
    <w:p w14:paraId="3BF6E61F" w14:textId="4D34DF38" w:rsidR="002F21BD" w:rsidRDefault="002F21BD" w:rsidP="002F21BD">
      <w:r>
        <w:t>Falamos durante este módulo sobre perfil do investidor e, como podemos deduzir, ser investidor é somente para os agentes superavitários, isto é, para quem tem dinheiro sobrando. O ponto é que nosso papel, enquanto profissional certificado ANBIMA, vai além da recomendação de investimento: vai também de encontro à propagação da educação financeira na sociedade. Quanto melhor for o nível de educação financeira, mais agentes superavitários teremos. Ou seja, você tem o papel de, através da educação financeira, ajudar os agentes deficitários a se tornarem agentes superavitários.</w:t>
      </w:r>
    </w:p>
    <w:p w14:paraId="00DFE542" w14:textId="08EED382" w:rsidR="002F21BD" w:rsidRDefault="002F21BD" w:rsidP="002F21BD">
      <w:r>
        <w:t>Podemos resumir as finanças pessoais em três etapas:</w:t>
      </w:r>
    </w:p>
    <w:p w14:paraId="23651E25" w14:textId="00643BA4" w:rsidR="002F21BD" w:rsidRDefault="002F21BD" w:rsidP="002F21BD">
      <w:r>
        <w:t xml:space="preserve">1. A elaboração de um balanço patrimonial pessoal: nesse balanço devem constar os ativos (direitos, propriedades e aplicações financeiras) do indivíduo (ou da família), bem como os passivos (dívidas). Se o saldo dos ativos for maior que o saldo os passivos, essa pessoa possui um patrimônio líquido positivo. O contrário, se o indivíduo possuir mais passivos que ativos, representa um patrimônio líquido negativo. Ainda sobre a elaboração do balanço pessoal, é importante mensurar o índice de endividamento pessoal. Basicamente, ao dividir os passivos pelos ativos, chegamos ao índice de endividamento pessoal. </w:t>
      </w:r>
    </w:p>
    <w:p w14:paraId="7AD55E5C" w14:textId="34DFCE01" w:rsidR="002F21BD" w:rsidRDefault="002F21BD" w:rsidP="002F21BD">
      <w:r>
        <w:t xml:space="preserve">2. Elaborar um fluxo de caixa: o fluxo de caixa deve apontar as receitas e despesas correntes do indivíduo (ou família). Do lado das receitas, o fluxo de caixa deve mostrar a renda com o trabalho assalariado, os rendimentos (juros e dividendos) obtidos com aplicações financeiras, as distribuições de lucro de empresas das quais o indivíduo seja sócio e quaisquer outras rendas recebidas. Do lado das despesas, o fluxo de caixa deve incluir todos os gastos pessoais </w:t>
      </w:r>
      <w:r>
        <w:lastRenderedPageBreak/>
        <w:t xml:space="preserve">ou familiares em itens como aluguel, mensalidades de escola, transporte, prestação de financiamento de veículo ou de imóvel, plano de saúde, alimentação e quaisquer outras saídas de caixa relevantes. Se as despesas superarem as receitas, o agente econômico é deficitário; se as receitas forem maiores que as despesas, o agente econômico é superavitário; </w:t>
      </w:r>
    </w:p>
    <w:p w14:paraId="66ECFA66" w14:textId="5561D1DE" w:rsidR="0095755A" w:rsidRDefault="002F21BD" w:rsidP="002F21BD">
      <w:r>
        <w:t>3. Elaborar um orçamento doméstico: Este orçamento é bastante parecido com a etapa anterior, mas o foco aqui é no futuro, e não no passado ou no presente. É com base neste orçamento que o planejamento financeiro pessoal pode, efetivamente, acontecer. As informações sobre receitas e despesas do passado e do presente subsidiam a elaboração desse orçamento, mas cabe ao indivíduo e à família definir como pretendem lidar com suas finanças dali em diante. Somente diante de informações claras sobre a sua situação financeira – incluindo o cálculo do patrimônio líquido, a elaboração do fluxo de caixa de receitas e despesas mensais bem como a criação do orçamento doméstico – é que o indivíduo poderá enxergar o caminho a ser seguido caso deseje se tornar um agente econômico superavitário ou acelerar a sua poupança para a realização de investimentos e geração de renda por meio de aplicações financeiras</w:t>
      </w:r>
    </w:p>
    <w:p w14:paraId="24BD18E7" w14:textId="2EAE8F93" w:rsidR="002F21BD" w:rsidRDefault="002F21BD" w:rsidP="002F21BD">
      <w:r>
        <w:rPr>
          <w:noProof/>
        </w:rPr>
        <w:drawing>
          <wp:inline distT="0" distB="0" distL="0" distR="0" wp14:anchorId="3159494E" wp14:editId="5DFDA31E">
            <wp:extent cx="5400040" cy="2837815"/>
            <wp:effectExtent l="0" t="0" r="0" b="63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2837815"/>
                    </a:xfrm>
                    <a:prstGeom prst="rect">
                      <a:avLst/>
                    </a:prstGeom>
                    <a:noFill/>
                    <a:ln>
                      <a:noFill/>
                    </a:ln>
                  </pic:spPr>
                </pic:pic>
              </a:graphicData>
            </a:graphic>
          </wp:inline>
        </w:drawing>
      </w:r>
    </w:p>
    <w:p w14:paraId="79C6C2B4" w14:textId="77777777" w:rsidR="002F21BD" w:rsidRDefault="002F21BD" w:rsidP="002F21BD"/>
    <w:p w14:paraId="413FB7A2" w14:textId="5CBFAE11" w:rsidR="0095755A" w:rsidRPr="002F21BD" w:rsidRDefault="002F21BD" w:rsidP="0095755A">
      <w:pPr>
        <w:rPr>
          <w:b/>
          <w:bCs/>
          <w:u w:val="single"/>
        </w:rPr>
      </w:pPr>
      <w:r w:rsidRPr="002F21BD">
        <w:rPr>
          <w:b/>
          <w:bCs/>
          <w:u w:val="single"/>
        </w:rPr>
        <w:t>Decisões do Investidor na Perspectiva das Finanças Comportamentais</w:t>
      </w:r>
    </w:p>
    <w:p w14:paraId="694552C8" w14:textId="6C936DD8" w:rsidR="002F21BD" w:rsidRDefault="002F21BD" w:rsidP="002F21BD">
      <w:r>
        <w:t>A Finança Comportamental é a área das finanças que estuda como o comportamento e emoções influenciam as decisões relacionadas ao dinheiro.</w:t>
      </w:r>
    </w:p>
    <w:p w14:paraId="5BE7D6BC" w14:textId="74EE1473" w:rsidR="002F21BD" w:rsidRDefault="002F21BD" w:rsidP="002F21BD">
      <w:r>
        <w:t>Nossas decisões como investidores podem estar apoiadas em crenças e atalhos mentais.</w:t>
      </w:r>
    </w:p>
    <w:p w14:paraId="0B3B8BE4" w14:textId="1FD81E5B" w:rsidR="002F21BD" w:rsidRDefault="002F21BD" w:rsidP="002F21BD">
      <w:r>
        <w:t>Esses atalhos mentais são “regras” que orientam os investidores nas tomadas de decisões.</w:t>
      </w:r>
    </w:p>
    <w:p w14:paraId="6DB43C85" w14:textId="1A59751A" w:rsidR="002F21BD" w:rsidRDefault="002F21BD" w:rsidP="002F21BD">
      <w:r>
        <w:t>Todos possuem vieses comportamentais que podem afetar a capacidade de julgar e tomar as melhores decisões sobre investimentos.</w:t>
      </w:r>
    </w:p>
    <w:p w14:paraId="4FFB14E8" w14:textId="434071C5" w:rsidR="002F21BD" w:rsidRDefault="002F21BD" w:rsidP="002F21BD">
      <w:r>
        <w:t>Portanto, alguns erros de percepção podem induzir o investidor a decisões erradas.</w:t>
      </w:r>
    </w:p>
    <w:p w14:paraId="25C94DA1" w14:textId="7A69ADE0" w:rsidR="002F21BD" w:rsidRDefault="002F21BD" w:rsidP="002F21BD">
      <w:r>
        <w:t>A educação financeira é o caminho para amenizar os efeitos de vieses em relação aos investimentos.</w:t>
      </w:r>
    </w:p>
    <w:p w14:paraId="2E9C456F" w14:textId="2A437EF1" w:rsidR="002F21BD" w:rsidRDefault="002F21BD" w:rsidP="002F21BD">
      <w:r>
        <w:lastRenderedPageBreak/>
        <w:t>Influências do nosso histórico emocional:</w:t>
      </w:r>
    </w:p>
    <w:p w14:paraId="3C2078A2" w14:textId="77777777" w:rsidR="002F21BD" w:rsidRDefault="002F21BD" w:rsidP="002F21BD">
      <w:r>
        <w:t>Representatividade;</w:t>
      </w:r>
    </w:p>
    <w:p w14:paraId="44C0B95D" w14:textId="77777777" w:rsidR="002F21BD" w:rsidRDefault="002F21BD" w:rsidP="002F21BD">
      <w:r>
        <w:t>Disponibilidade;</w:t>
      </w:r>
    </w:p>
    <w:p w14:paraId="30940ECF" w14:textId="77777777" w:rsidR="002F21BD" w:rsidRDefault="002F21BD" w:rsidP="002F21BD">
      <w:r>
        <w:t>Ancoragem;</w:t>
      </w:r>
    </w:p>
    <w:p w14:paraId="4085A0BA" w14:textId="41114C45" w:rsidR="002F21BD" w:rsidRDefault="002F21BD" w:rsidP="002F21BD">
      <w:r>
        <w:t>Aversão à Perda;</w:t>
      </w:r>
    </w:p>
    <w:p w14:paraId="4FA7CA48" w14:textId="4CC6FF07" w:rsidR="002F21BD" w:rsidRPr="002F21BD" w:rsidRDefault="002F21BD" w:rsidP="002F21BD">
      <w:pPr>
        <w:rPr>
          <w:b/>
          <w:bCs/>
          <w:u w:val="single"/>
        </w:rPr>
      </w:pPr>
      <w:r w:rsidRPr="002F21BD">
        <w:rPr>
          <w:b/>
          <w:bCs/>
          <w:u w:val="single"/>
        </w:rPr>
        <w:t>Finanças Comportamentais e Heurísticas</w:t>
      </w:r>
    </w:p>
    <w:p w14:paraId="2F621726" w14:textId="10AB600B" w:rsidR="002F21BD" w:rsidRDefault="002F21BD" w:rsidP="002F21BD">
      <w:r>
        <w:t>Finanças comportamentais</w:t>
      </w:r>
    </w:p>
    <w:p w14:paraId="78412818" w14:textId="7CCE47F4" w:rsidR="002F21BD" w:rsidRDefault="002F21BD" w:rsidP="002F21BD">
      <w:r>
        <w:t>Falamos sobre as Finanças Pessoais, e elas (também chamadas de finanças tradicionais) partem do pressuposto que, ao mapear sua situação financeira, através dos 3 passos que citamos acima, uma pessoa sempre vai tomar decisões racionais e matematicamente justificáveis.</w:t>
      </w:r>
    </w:p>
    <w:p w14:paraId="44948E30" w14:textId="369492BE" w:rsidR="002F21BD" w:rsidRDefault="002F21BD" w:rsidP="002F21BD">
      <w:r>
        <w:t>O ponto é que nossa vida não é matemática. Quem nunca entrou em uma loja, comprou algo que não precisava naquele momento, usou uma única vez e depois esqueceu de sua aquisição? Em outras palavras, quem nunca fez uma compra por impulso que atire a primeira pedra.</w:t>
      </w:r>
    </w:p>
    <w:p w14:paraId="630AABFF" w14:textId="7754F7B9" w:rsidR="002F21BD" w:rsidRDefault="002F21BD" w:rsidP="002F21BD">
      <w:r>
        <w:t>As Finanças Comportamentais não negam que a maioria das decisões econômicas são tomadas de forma racional e deliberada. Mas consideram que, se não forem levadas em conta também as decisões emocionais e automáticas, os modelos econômicos serão falhos para explicar o funcionamento dos mercados. Elas afirmam que as decisões dos investidores possuem um viés, que também chamamos de heurística. Esse viés é invariavelmente influenciado pelo histórico emocional do investidor, por isso, falaremos a seguir de três heurísticas que são amplamente estudadas no campo das Finanças Comportamentais.</w:t>
      </w:r>
    </w:p>
    <w:p w14:paraId="4D378420" w14:textId="059319E4" w:rsidR="002F21BD" w:rsidRDefault="002F21BD" w:rsidP="002F21BD">
      <w:r>
        <w:t xml:space="preserve">Heurística da Representatividade </w:t>
      </w:r>
    </w:p>
    <w:p w14:paraId="284F790F" w14:textId="19D7C451" w:rsidR="002F21BD" w:rsidRDefault="002F21BD" w:rsidP="002F21BD">
      <w:r>
        <w:t>Ela afirma que as pessoas avaliam a probabilidade de um evento “B” pelo nível em que um evento “A” se assemelha de “B”. Um exemplo dado por Tversky e Kahneman (1974) ajuda na compreensão desta heurística: Representatividade é a tendência em utilizar estereótipos para realizar julgamentos</w:t>
      </w:r>
    </w:p>
    <w:p w14:paraId="44DD1763" w14:textId="11B06161" w:rsidR="002F21BD" w:rsidRDefault="002F21BD" w:rsidP="002F21BD">
      <w:r>
        <w:t>Considere um indivíduo que é muito tímido e retraído, está sempre pronto a ajudar, porém possui pouco interesse nas pessoas e no mundo a sua volta; ele é tranquilo e organizado, tem necessidade de ordem e estrutura, e uma paixão por detalhes. Além disso, podemos supor que este indivíduo é engajado em uma profissão específica.</w:t>
      </w:r>
    </w:p>
    <w:p w14:paraId="028D2C1E" w14:textId="4595AB41" w:rsidR="002F21BD" w:rsidRDefault="002F21BD" w:rsidP="002F21BD">
      <w:r>
        <w:t>Dessa forma, com base nas características do indivíduo, as pessoas tendem a imaginar a possível profissão dele utilizando o estereótipo de diversas profissões, como por exemplo, físico, matemático, bibliotecário, vendedor, médico ou fazendeiro. Contudo, utilizar esta abordagem de julgamentos de probabilidade pode conduzir a sérios erros, pois a similaridade (ou representatividade) não é influenciada por diversos fatores que deveriam afetar um julgamento de probabilidade.</w:t>
      </w:r>
    </w:p>
    <w:p w14:paraId="0D95597B" w14:textId="473607FC" w:rsidR="002F21BD" w:rsidRDefault="002F21BD" w:rsidP="002F21BD">
      <w:r>
        <w:t xml:space="preserve">Em outras palavras, representatividade é a tendência em utilizar estereótipos para realizar julgamentos. Um exemplo desta heurística no campo das finanças é crer que o desempenho </w:t>
      </w:r>
      <w:r>
        <w:lastRenderedPageBreak/>
        <w:t>brilhante de uma organização no passado é “representativo” de um desempenho geral que a empresa continuará a obter no futuro (BOUSSAIDI, 2013).</w:t>
      </w:r>
    </w:p>
    <w:p w14:paraId="6AC1D668" w14:textId="6FEF37A1" w:rsidR="002F21BD" w:rsidRDefault="002F21BD" w:rsidP="002F21BD">
      <w:r>
        <w:t xml:space="preserve">Heurística da disponibilidade </w:t>
      </w:r>
    </w:p>
    <w:p w14:paraId="469A61FB" w14:textId="40CC1284" w:rsidR="002F21BD" w:rsidRDefault="002F21BD" w:rsidP="002F21BD">
      <w:r>
        <w:t>A segunda heurística é a da disponibilidade. Significa que as pessoas, de forma geral, julgam a frequência ou a probabilidade de um evento pela facilidade com que exemplos ocorrem em suas mentes (TVERSKY, KAHNEMAN, 1974).</w:t>
      </w:r>
    </w:p>
    <w:p w14:paraId="43EB4450" w14:textId="1E915014" w:rsidR="002F21BD" w:rsidRDefault="002F21BD" w:rsidP="002F21BD">
      <w:r>
        <w:t>Por exemplo, um indivíduo pode calcular a probabilidade de um jovem ter problemas cardíacos recordando quantos casos desse tipo já ocorreram com seus conhecidos. A disponibilidade acompanha os seres humanos na vida cotidiana e de maneira geral é um método de eficácia relativa na tomada de decisões sobre frequência (MATLIN, 2004).</w:t>
      </w:r>
    </w:p>
    <w:p w14:paraId="6669749E" w14:textId="5AFFB360" w:rsidR="002F21BD" w:rsidRDefault="002F21BD" w:rsidP="002F21BD">
      <w:r>
        <w:t>Podemos testar de um jeito bem simples o quanto a Heurística da Disponibilidade influencia suas escolhas. Eu gostaria de fazer um teste com você: na sua opinião, qual cidade é mais violenta? Maracanaú, no estado do Ceará ou Rio de Janeiro?</w:t>
      </w:r>
    </w:p>
    <w:p w14:paraId="38279788" w14:textId="188254E6" w:rsidR="002F21BD" w:rsidRDefault="002F21BD" w:rsidP="002F21BD">
      <w:r>
        <w:t xml:space="preserve">A maioria das pessoas, influenciadas pelas notícias veiculadas pela mídia, pode deduzir que a cidade do Rio de Janeiro é muito mais violenta que Maracanaú. Mas o fato é que Maracanaú, segundo uma pesquisa realizada pelo Ipea - Instituto de Pesquisa Econômica Aplicada, é a cidade mais violenta do Brasil. E, acredite, o Rio de Janeiro não consta nem entre as 10 cidades mais violentas do nosso país por pelo menos 2 anos consecutivos (ESTADÃO, 2019). </w:t>
      </w:r>
    </w:p>
    <w:p w14:paraId="5FE2BBE7" w14:textId="7B2A155C" w:rsidR="002F21BD" w:rsidRDefault="002F21BD" w:rsidP="002F21BD">
      <w:r>
        <w:t>Onde quero chegar é que, cotidianamente, nós tomamos decisões com base nas informações que estão disponíveis (por isso ‘disponibilidade’), e muitas vezes ignoramos fatos ou estudos que mostram o contrário.</w:t>
      </w:r>
    </w:p>
    <w:p w14:paraId="39D82A22" w14:textId="47B9DFD0" w:rsidR="002F21BD" w:rsidRDefault="002F21BD" w:rsidP="002F21BD">
      <w:r>
        <w:t xml:space="preserve">Heurística da ancoragem </w:t>
      </w:r>
    </w:p>
    <w:p w14:paraId="6E6339F5" w14:textId="7B515B57" w:rsidR="002F21BD" w:rsidRDefault="002F21BD" w:rsidP="002F21BD">
      <w:r>
        <w:t>A terceira heurística é a da ancoragem. Pode-se dizer que a ancoragem é um desdobramento da heurística da representatividade. Nela, os indivíduos focalizam a atenção sobre uma informação recentemente recebida e a usam como referência para fazer uma estimativa ou tomar uma decisão.</w:t>
      </w:r>
    </w:p>
    <w:p w14:paraId="50F4C2E1" w14:textId="120F9845" w:rsidR="002F21BD" w:rsidRDefault="002F21BD" w:rsidP="002F21BD">
      <w:r>
        <w:t>A âncora é um valor relevante que está disponível ao tomador de decisão. As pessoas fazem estimativas a partir de um valor inicial, que é ajustado para produzir a resposta final. A âncora pode ser inserida na formulação do problema em questão, ou pode ser resultado de uma análise parcial. (TVERSKY, KAHNEMAN, 1974).</w:t>
      </w:r>
    </w:p>
    <w:p w14:paraId="683EA450" w14:textId="68E7720F" w:rsidR="002F21BD" w:rsidRDefault="002F21BD" w:rsidP="002F21BD">
      <w:r>
        <w:t>Ainda a respeito da ancoragem, Tversky e Kahneman (1974, p.1128) pediram aos participantes de seu estudo que girassem uma roleta para sortear um número qualquer entre 0 e 100. Após o sorteio, os autores realizaram algumas perguntas sobre certas quantidades, como por exemplo, quantos países africanos eram membros da ONU.</w:t>
      </w:r>
    </w:p>
    <w:p w14:paraId="18E55E74" w14:textId="178F20BB" w:rsidR="002F21BD" w:rsidRDefault="002F21BD" w:rsidP="002F21BD">
      <w:r>
        <w:t>Como resultado, os pesquisadores perceberam que aquele número aleatório previamente sorteado teve forte influência nas respostas dos participantes. Os grupos de pessoas que receberam números próximos a 10 no sorteio estimaram que cerca de 25 países africanos eram membros da ONU, enquanto esta estimativa subiu para 45 quando o número retirado na roleta foi próximo a 65</w:t>
      </w:r>
    </w:p>
    <w:p w14:paraId="7131281E" w14:textId="30250720" w:rsidR="002F21BD" w:rsidRDefault="002F21BD" w:rsidP="002F21BD">
      <w:r>
        <w:t xml:space="preserve">Aversão à perda </w:t>
      </w:r>
    </w:p>
    <w:p w14:paraId="0BAB3F17" w14:textId="27D84D95" w:rsidR="002F21BD" w:rsidRDefault="002F21BD" w:rsidP="002F21BD">
      <w:r>
        <w:lastRenderedPageBreak/>
        <w:t xml:space="preserve">O assunto pode soar subjetivo no começo. Mas pensa comigo: não somos todos humanos, sujeitos à mudanças de humor e comportamento dependendo da situação? A teoria da loss aversion (aversão à perda, em inglês) foi proposta pelos economistas Kahneman e Tversky em 1979. Ela dizia basicamente </w:t>
      </w:r>
    </w:p>
    <w:p w14:paraId="70E69DDD" w14:textId="4DD963D9" w:rsidR="002F21BD" w:rsidRDefault="002F21BD" w:rsidP="002F21BD">
      <w:r>
        <w:t>que as pessoas com esse comportamento reagem de maneira diferente em situações de ganho ou de perdas no mercado de ações quando estão investindo. Isso leva a um viés comportamental sem qualquer tipo aparente de motivo ou coerência, prejudicando o trabalho de vários profissionais.</w:t>
      </w:r>
    </w:p>
    <w:p w14:paraId="5A15BD32" w14:textId="45CFBED9" w:rsidR="002F21BD" w:rsidRDefault="002F21BD" w:rsidP="002F21BD">
      <w:r>
        <w:t>A aversão à perda está relacionada não necessariamente ao medo de perder, mas principalmente ao medo de ter de assumir que errou.</w:t>
      </w:r>
    </w:p>
    <w:p w14:paraId="0932942D" w14:textId="199037FA" w:rsidR="002F21BD" w:rsidRDefault="002F21BD" w:rsidP="002F21BD">
      <w:r>
        <w:t>A verdade é que ninguém gosta de ter de assumir que tomou uma decisão errada. Nós, seres humanos, de um modo geral, acreditamos que assumir um erro pode significar que somos frágeis. Muitas pessoas acreditam - inclusive nós mesmos - que “só os fracos erram”. Acredite, todos nós temos um pouco dessa aversão. Alguns mais, outros menos, mas ninguém está livre disso.</w:t>
      </w:r>
    </w:p>
    <w:p w14:paraId="4CC02B37" w14:textId="360AAA4B" w:rsidR="002F21BD" w:rsidRDefault="002F21BD" w:rsidP="002F21BD">
      <w:r>
        <w:rPr>
          <w:noProof/>
        </w:rPr>
        <w:drawing>
          <wp:inline distT="0" distB="0" distL="0" distR="0" wp14:anchorId="4152B2F0" wp14:editId="1F9E83D5">
            <wp:extent cx="5391150" cy="224790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2247900"/>
                    </a:xfrm>
                    <a:prstGeom prst="rect">
                      <a:avLst/>
                    </a:prstGeom>
                    <a:noFill/>
                    <a:ln>
                      <a:noFill/>
                    </a:ln>
                  </pic:spPr>
                </pic:pic>
              </a:graphicData>
            </a:graphic>
          </wp:inline>
        </w:drawing>
      </w:r>
    </w:p>
    <w:p w14:paraId="5233D3D7" w14:textId="27E6EDB5" w:rsidR="002F21BD" w:rsidRPr="00D64BDB" w:rsidRDefault="00D64BDB" w:rsidP="002F21BD">
      <w:pPr>
        <w:rPr>
          <w:b/>
          <w:bCs/>
          <w:u w:val="single"/>
        </w:rPr>
      </w:pPr>
      <w:r w:rsidRPr="00D64BDB">
        <w:rPr>
          <w:b/>
          <w:bCs/>
          <w:u w:val="single"/>
        </w:rPr>
        <w:t>NOVO - Framing - Efeito de Estruturação</w:t>
      </w:r>
    </w:p>
    <w:p w14:paraId="1FA1D915" w14:textId="440CBF51" w:rsidR="00D64BDB" w:rsidRDefault="00D64BDB" w:rsidP="00D64BDB">
      <w:r>
        <w:t>FRAMING</w:t>
      </w:r>
    </w:p>
    <w:p w14:paraId="0400971B" w14:textId="00DFCF5D" w:rsidR="00D64BDB" w:rsidRDefault="00D64BDB" w:rsidP="00D64BDB">
      <w:r>
        <w:t>Abordando um pouco mais sobre economia comportamental, vamos falar sobre o efeito de framing ou efeitos de estruturação.</w:t>
      </w:r>
    </w:p>
    <w:p w14:paraId="2972F474" w14:textId="50E1C8C3" w:rsidR="00D64BDB" w:rsidRDefault="00D64BDB" w:rsidP="00D64BDB">
      <w:r>
        <w:t>Esse efeito se refere ao fato que a escolha é influenciada pela forma como o problema é expresso. Ou seja, a informação pode ser a mesma, mas o indivíduo pode receber ela de formas diferentes, dependendo de como ela foi expressada.</w:t>
      </w:r>
    </w:p>
    <w:p w14:paraId="62C0A69E" w14:textId="2522D331" w:rsidR="00D64BDB" w:rsidRDefault="00D64BDB" w:rsidP="00D64BDB">
      <w:r>
        <w:t>Vamos para um exemplo para explicar a situação, dado por Kahneman e Tversky (1979):</w:t>
      </w:r>
    </w:p>
    <w:p w14:paraId="05E6E0C7" w14:textId="7435D964" w:rsidR="00D64BDB" w:rsidRDefault="00D64BDB" w:rsidP="00D64BDB">
      <w:r>
        <w:t>Existem dois programas para se combater determinada doença que infectou 600 pessoas e você deve escolher entre um deles:</w:t>
      </w:r>
    </w:p>
    <w:p w14:paraId="7F7F028B" w14:textId="4558A16E" w:rsidR="00D64BDB" w:rsidRDefault="00D64BDB" w:rsidP="00D64BDB">
      <w:r>
        <w:t>Caso escolha o programa A, 200 pessoas são salvas.</w:t>
      </w:r>
    </w:p>
    <w:p w14:paraId="5A9D6971" w14:textId="55D0C66A" w:rsidR="00D64BDB" w:rsidRDefault="00D64BDB" w:rsidP="00D64BDB">
      <w:r>
        <w:t>Caso escolha o programa B, existe a chance de um terço de se salvar 600 pessoas e a chance de dois terços de todas morrerem.</w:t>
      </w:r>
    </w:p>
    <w:p w14:paraId="18424229" w14:textId="174BE65A" w:rsidR="00D64BDB" w:rsidRDefault="00D64BDB" w:rsidP="00D64BDB">
      <w:r>
        <w:lastRenderedPageBreak/>
        <w:t>Qual programa você escolheria? A maioria das pessoas escolhe a opção A.</w:t>
      </w:r>
    </w:p>
    <w:p w14:paraId="73BA618C" w14:textId="6C1C5DEB" w:rsidR="00D64BDB" w:rsidRDefault="00D64BDB" w:rsidP="00D64BDB">
      <w:r>
        <w:t>Agora, vamos avaliar outras dois programas:</w:t>
      </w:r>
    </w:p>
    <w:p w14:paraId="58B362F0" w14:textId="43D8B81F" w:rsidR="00D64BDB" w:rsidRDefault="00D64BDB" w:rsidP="00D64BDB">
      <w:r>
        <w:t>Programa C, onde somente 400 pessoas morrerão.</w:t>
      </w:r>
    </w:p>
    <w:p w14:paraId="70463794" w14:textId="380C1D9C" w:rsidR="00D64BDB" w:rsidRDefault="00D64BDB" w:rsidP="00D64BDB">
      <w:r>
        <w:t>Programa D, onde existe ⅓ de chances de todos os 600 se salvarem ou ⅔ de todos morrerem.</w:t>
      </w:r>
    </w:p>
    <w:p w14:paraId="34D6D5B0" w14:textId="24E67465" w:rsidR="00D64BDB" w:rsidRDefault="00D64BDB" w:rsidP="00D64BDB">
      <w:r>
        <w:t>Entre essas duas novas opções: C e D, muitas pessoas preferem a opção D. Mas observe. A opção A é a mesma que a opção C e a opção B é a mesma que a D.</w:t>
      </w:r>
    </w:p>
    <w:p w14:paraId="4DC5F65A" w14:textId="45F3613E" w:rsidR="00D64BDB" w:rsidRDefault="00D64BDB" w:rsidP="00D64BDB">
      <w:r>
        <w:t>O que mudou, se o número de pessoas que vão sobreviver e morrer na opção A e C é o mesmo? A forma que a informação é dada. Na A, eu digo que 200 pessoas serão salvas. Já na C, digo que 400 pessoas morrerão.</w:t>
      </w:r>
    </w:p>
    <w:p w14:paraId="1F4BC8E2" w14:textId="54832370" w:rsidR="00D64BDB" w:rsidRDefault="00D64BDB" w:rsidP="00D64BDB">
      <w:r>
        <w:t>Ou seja, nós tendemos a procurar formas positivas de enxergar as coisas e informações.</w:t>
      </w:r>
    </w:p>
    <w:p w14:paraId="21349A85" w14:textId="04F20A55" w:rsidR="00D64BDB" w:rsidRDefault="00D64BDB" w:rsidP="00D64BDB">
      <w:r>
        <w:t>Por isso sofremos um impacto particularmente significativo se o problema for desenhado de forma a evidenciar ganhos ou perdas.</w:t>
      </w:r>
    </w:p>
    <w:p w14:paraId="1C2141F7" w14:textId="7F1C8A49" w:rsidR="00D64BDB" w:rsidRDefault="00D64BDB" w:rsidP="00D64BDB">
      <w:r>
        <w:t>Para concluir o tema finanças comportamentais é importante destacar que todos os indi­víduos, inclusive a gente que estuda isso, age sob influência de uma ou mais heurísticas.</w:t>
      </w:r>
    </w:p>
    <w:p w14:paraId="6139F166" w14:textId="38145477" w:rsidR="00D64BDB" w:rsidRDefault="00D64BDB" w:rsidP="00D64BDB">
      <w:r>
        <w:t>Além disso, a influência é exercida de acordo com contextos, ou seja, não é um padrão de influência de heurística. Exemplo: você pode comprar ações com base na heurística da representatividade e comprar imóveis com excesso de confiança, por exemplo.</w:t>
      </w:r>
    </w:p>
    <w:p w14:paraId="7EF926B4" w14:textId="657BEF54" w:rsidR="00D64BDB" w:rsidRDefault="00D64BDB" w:rsidP="00D64BDB">
      <w:r>
        <w:rPr>
          <w:noProof/>
        </w:rPr>
        <w:drawing>
          <wp:inline distT="0" distB="0" distL="0" distR="0" wp14:anchorId="2AEFF7F8" wp14:editId="4FFD330C">
            <wp:extent cx="5400040" cy="232410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2324100"/>
                    </a:xfrm>
                    <a:prstGeom prst="rect">
                      <a:avLst/>
                    </a:prstGeom>
                    <a:noFill/>
                    <a:ln>
                      <a:noFill/>
                    </a:ln>
                  </pic:spPr>
                </pic:pic>
              </a:graphicData>
            </a:graphic>
          </wp:inline>
        </w:drawing>
      </w:r>
    </w:p>
    <w:p w14:paraId="5E994706" w14:textId="6DF932B2" w:rsidR="00D64BDB" w:rsidRPr="00A82502" w:rsidRDefault="00A82502" w:rsidP="00D64BDB">
      <w:pPr>
        <w:rPr>
          <w:b/>
          <w:bCs/>
          <w:u w:val="single"/>
        </w:rPr>
      </w:pPr>
      <w:r w:rsidRPr="00A82502">
        <w:rPr>
          <w:b/>
          <w:bCs/>
          <w:u w:val="single"/>
        </w:rPr>
        <w:t>Ética na Venda e Venda Casada</w:t>
      </w:r>
    </w:p>
    <w:p w14:paraId="0FAA1298" w14:textId="7EAF4D99" w:rsidR="00A82502" w:rsidRDefault="00A82502" w:rsidP="00A82502">
      <w:r>
        <w:t>Ética na Venda</w:t>
      </w:r>
    </w:p>
    <w:p w14:paraId="0A9815DB" w14:textId="77777777" w:rsidR="00A82502" w:rsidRDefault="00A82502" w:rsidP="00A82502">
      <w:r>
        <w:t>O Mercado Financeiro tem uma ética própria, que precisa ser respeitada nas interações de seus representantes junto ao público, a fim de zelar pela construção de uma relação de confiança, sem a qual o desenvolvimento do mercado não é viável. Isso quer dizer que é necessário ter visão de longo prazo na relação com clientes. Afinal, se o Mercado Financeiro atuar de forma predatória e extra vista junto ao público, este se sentirá acuado e desencorajado a adquirir produtos e contratar serviços.</w:t>
      </w:r>
    </w:p>
    <w:p w14:paraId="078B34B9" w14:textId="77777777" w:rsidR="00A82502" w:rsidRDefault="00A82502" w:rsidP="00A82502"/>
    <w:p w14:paraId="78CA2182" w14:textId="5EB5C765" w:rsidR="00A82502" w:rsidRDefault="00A82502" w:rsidP="00A82502">
      <w:r>
        <w:lastRenderedPageBreak/>
        <w:t>Claro que, em se tratando de ética, teríamos muito a tratar. Porém, para sua prova de certificação CPA-20, vamos tratar de venda casada, restrições do investidor, além dos padrões éticos de front runner e insider trading</w:t>
      </w:r>
    </w:p>
    <w:p w14:paraId="7600F672" w14:textId="02ADC045" w:rsidR="00A82502" w:rsidRDefault="00A82502" w:rsidP="00A82502">
      <w:r>
        <w:t xml:space="preserve">Venda casada </w:t>
      </w:r>
    </w:p>
    <w:p w14:paraId="4E9B73AB" w14:textId="24AFADDD" w:rsidR="00A82502" w:rsidRDefault="00A82502" w:rsidP="00A82502">
      <w:r>
        <w:t>Embora seja, infelizmente, comum no mercado - que, aliás, deveria ser combatida –, a venda casada é uma prática proibida no mercado.</w:t>
      </w:r>
    </w:p>
    <w:p w14:paraId="76FC1033" w14:textId="2622EB75" w:rsidR="00A82502" w:rsidRDefault="00A82502" w:rsidP="00A82502">
      <w:r>
        <w:t>Em termos mais técnicos, a venda casada é o ato de subordinar a venda de um produto ou serviço à aquisição de um outro produto ou serviço.</w:t>
      </w:r>
    </w:p>
    <w:p w14:paraId="7576DE94" w14:textId="21752541" w:rsidR="00A82502" w:rsidRDefault="00A82502" w:rsidP="00A82502">
      <w:r>
        <w:t>Para um exemplo prático, é só imaginar um gerente de uma agência bancária que condiciona a emissão de um cartão de crédito à compra de título de capitalização que, carinhosamente, chama de “poupança forçada”</w:t>
      </w:r>
    </w:p>
    <w:p w14:paraId="4AC566BD" w14:textId="21890AEF" w:rsidR="00A82502" w:rsidRDefault="00A82502" w:rsidP="00A82502">
      <w:r>
        <w:t>É relevante ressaltar que a venda casada não se caracteriza por vantagens oferecidas a clientes em nome do relacionamento que possui com a instituição.</w:t>
      </w:r>
    </w:p>
    <w:p w14:paraId="0C1ABC32" w14:textId="666F2005" w:rsidR="00A82502" w:rsidRDefault="00A82502" w:rsidP="00A82502">
      <w:r>
        <w:t>Como exemplo podemos usar o fato de os bancos, por padrão, ofereçam a seus clientes isenção de tarifas bancárias quando o investidor possui um determinado volume financeiro aplicado com aquel</w:t>
      </w:r>
      <w:r>
        <w:t>a</w:t>
      </w:r>
      <w:r>
        <w:t xml:space="preserve"> instituição.</w:t>
      </w:r>
    </w:p>
    <w:p w14:paraId="502C3C0D" w14:textId="151143A9" w:rsidR="00A82502" w:rsidRPr="00AA618E" w:rsidRDefault="00A82502" w:rsidP="00A82502">
      <w:r>
        <w:rPr>
          <w:noProof/>
        </w:rPr>
        <w:drawing>
          <wp:inline distT="0" distB="0" distL="0" distR="0" wp14:anchorId="547E87D6" wp14:editId="0363571A">
            <wp:extent cx="5391150" cy="2295525"/>
            <wp:effectExtent l="0" t="0" r="0" b="952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2295525"/>
                    </a:xfrm>
                    <a:prstGeom prst="rect">
                      <a:avLst/>
                    </a:prstGeom>
                    <a:noFill/>
                    <a:ln>
                      <a:noFill/>
                    </a:ln>
                  </pic:spPr>
                </pic:pic>
              </a:graphicData>
            </a:graphic>
          </wp:inline>
        </w:drawing>
      </w:r>
    </w:p>
    <w:sectPr w:rsidR="00A82502" w:rsidRPr="00AA618E">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D23B0"/>
    <w:multiLevelType w:val="multilevel"/>
    <w:tmpl w:val="8EFC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EA"/>
    <w:rsid w:val="000B3865"/>
    <w:rsid w:val="001100CD"/>
    <w:rsid w:val="00145AA9"/>
    <w:rsid w:val="00197F5A"/>
    <w:rsid w:val="00214529"/>
    <w:rsid w:val="002F21BD"/>
    <w:rsid w:val="003007D7"/>
    <w:rsid w:val="005B077C"/>
    <w:rsid w:val="005B713A"/>
    <w:rsid w:val="00626ABC"/>
    <w:rsid w:val="00644D79"/>
    <w:rsid w:val="007555F3"/>
    <w:rsid w:val="007E4E9C"/>
    <w:rsid w:val="008A61FF"/>
    <w:rsid w:val="009175A6"/>
    <w:rsid w:val="0095755A"/>
    <w:rsid w:val="009F3962"/>
    <w:rsid w:val="00A82502"/>
    <w:rsid w:val="00AA618E"/>
    <w:rsid w:val="00B543D3"/>
    <w:rsid w:val="00B61319"/>
    <w:rsid w:val="00B924E2"/>
    <w:rsid w:val="00BB7B21"/>
    <w:rsid w:val="00C92A58"/>
    <w:rsid w:val="00D417C6"/>
    <w:rsid w:val="00D64BDB"/>
    <w:rsid w:val="00DF62C6"/>
    <w:rsid w:val="00E23F0D"/>
    <w:rsid w:val="00E614EA"/>
    <w:rsid w:val="00EF5066"/>
    <w:rsid w:val="00F467D2"/>
    <w:rsid w:val="00F72B83"/>
    <w:rsid w:val="00FB742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26D1D1"/>
  <w15:chartTrackingRefBased/>
  <w15:docId w15:val="{BA1590BF-9611-463C-8844-6C89AC9BF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E23F0D"/>
    <w:rPr>
      <w:color w:val="0563C1" w:themeColor="hyperlink"/>
      <w:u w:val="single"/>
    </w:rPr>
  </w:style>
  <w:style w:type="character" w:styleId="MenoPendente">
    <w:name w:val="Unresolved Mention"/>
    <w:basedOn w:val="Fontepargpadro"/>
    <w:uiPriority w:val="99"/>
    <w:semiHidden/>
    <w:unhideWhenUsed/>
    <w:rsid w:val="00E23F0D"/>
    <w:rPr>
      <w:color w:val="605E5C"/>
      <w:shd w:val="clear" w:color="auto" w:fill="E1DFDD"/>
    </w:rPr>
  </w:style>
  <w:style w:type="paragraph" w:styleId="PargrafodaLista">
    <w:name w:val="List Paragraph"/>
    <w:basedOn w:val="Normal"/>
    <w:uiPriority w:val="34"/>
    <w:qFormat/>
    <w:rsid w:val="000B386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2422">
      <w:bodyDiv w:val="1"/>
      <w:marLeft w:val="0"/>
      <w:marRight w:val="0"/>
      <w:marTop w:val="0"/>
      <w:marBottom w:val="0"/>
      <w:divBdr>
        <w:top w:val="none" w:sz="0" w:space="0" w:color="auto"/>
        <w:left w:val="none" w:sz="0" w:space="0" w:color="auto"/>
        <w:bottom w:val="none" w:sz="0" w:space="0" w:color="auto"/>
        <w:right w:val="none" w:sz="0" w:space="0" w:color="auto"/>
      </w:divBdr>
    </w:div>
    <w:div w:id="11684856">
      <w:bodyDiv w:val="1"/>
      <w:marLeft w:val="0"/>
      <w:marRight w:val="0"/>
      <w:marTop w:val="0"/>
      <w:marBottom w:val="0"/>
      <w:divBdr>
        <w:top w:val="none" w:sz="0" w:space="0" w:color="auto"/>
        <w:left w:val="none" w:sz="0" w:space="0" w:color="auto"/>
        <w:bottom w:val="none" w:sz="0" w:space="0" w:color="auto"/>
        <w:right w:val="none" w:sz="0" w:space="0" w:color="auto"/>
      </w:divBdr>
      <w:divsChild>
        <w:div w:id="2138181871">
          <w:marLeft w:val="0"/>
          <w:marRight w:val="0"/>
          <w:marTop w:val="0"/>
          <w:marBottom w:val="0"/>
          <w:divBdr>
            <w:top w:val="single" w:sz="2" w:space="0" w:color="auto"/>
            <w:left w:val="single" w:sz="2" w:space="0" w:color="auto"/>
            <w:bottom w:val="single" w:sz="6" w:space="0" w:color="auto"/>
            <w:right w:val="single" w:sz="2" w:space="0" w:color="auto"/>
          </w:divBdr>
          <w:divsChild>
            <w:div w:id="409624623">
              <w:marLeft w:val="0"/>
              <w:marRight w:val="0"/>
              <w:marTop w:val="0"/>
              <w:marBottom w:val="0"/>
              <w:divBdr>
                <w:top w:val="single" w:sz="2" w:space="0" w:color="auto"/>
                <w:left w:val="single" w:sz="2" w:space="0" w:color="auto"/>
                <w:bottom w:val="single" w:sz="2" w:space="0" w:color="auto"/>
                <w:right w:val="single" w:sz="2" w:space="0" w:color="auto"/>
              </w:divBdr>
              <w:divsChild>
                <w:div w:id="2126146756">
                  <w:marLeft w:val="0"/>
                  <w:marRight w:val="0"/>
                  <w:marTop w:val="0"/>
                  <w:marBottom w:val="0"/>
                  <w:divBdr>
                    <w:top w:val="single" w:sz="2" w:space="0" w:color="auto"/>
                    <w:left w:val="single" w:sz="2" w:space="0" w:color="auto"/>
                    <w:bottom w:val="single" w:sz="2" w:space="0" w:color="auto"/>
                    <w:right w:val="single" w:sz="2" w:space="0" w:color="auto"/>
                  </w:divBdr>
                </w:div>
                <w:div w:id="1477642201">
                  <w:marLeft w:val="0"/>
                  <w:marRight w:val="0"/>
                  <w:marTop w:val="0"/>
                  <w:marBottom w:val="0"/>
                  <w:divBdr>
                    <w:top w:val="single" w:sz="2" w:space="0" w:color="auto"/>
                    <w:left w:val="single" w:sz="2" w:space="0" w:color="auto"/>
                    <w:bottom w:val="single" w:sz="2" w:space="0" w:color="auto"/>
                    <w:right w:val="single" w:sz="2" w:space="0" w:color="auto"/>
                  </w:divBdr>
                  <w:divsChild>
                    <w:div w:id="100108602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6541171">
      <w:bodyDiv w:val="1"/>
      <w:marLeft w:val="0"/>
      <w:marRight w:val="0"/>
      <w:marTop w:val="0"/>
      <w:marBottom w:val="0"/>
      <w:divBdr>
        <w:top w:val="none" w:sz="0" w:space="0" w:color="auto"/>
        <w:left w:val="none" w:sz="0" w:space="0" w:color="auto"/>
        <w:bottom w:val="none" w:sz="0" w:space="0" w:color="auto"/>
        <w:right w:val="none" w:sz="0" w:space="0" w:color="auto"/>
      </w:divBdr>
    </w:div>
    <w:div w:id="103351350">
      <w:bodyDiv w:val="1"/>
      <w:marLeft w:val="0"/>
      <w:marRight w:val="0"/>
      <w:marTop w:val="0"/>
      <w:marBottom w:val="0"/>
      <w:divBdr>
        <w:top w:val="none" w:sz="0" w:space="0" w:color="auto"/>
        <w:left w:val="none" w:sz="0" w:space="0" w:color="auto"/>
        <w:bottom w:val="none" w:sz="0" w:space="0" w:color="auto"/>
        <w:right w:val="none" w:sz="0" w:space="0" w:color="auto"/>
      </w:divBdr>
    </w:div>
    <w:div w:id="131682256">
      <w:bodyDiv w:val="1"/>
      <w:marLeft w:val="0"/>
      <w:marRight w:val="0"/>
      <w:marTop w:val="0"/>
      <w:marBottom w:val="0"/>
      <w:divBdr>
        <w:top w:val="none" w:sz="0" w:space="0" w:color="auto"/>
        <w:left w:val="none" w:sz="0" w:space="0" w:color="auto"/>
        <w:bottom w:val="none" w:sz="0" w:space="0" w:color="auto"/>
        <w:right w:val="none" w:sz="0" w:space="0" w:color="auto"/>
      </w:divBdr>
    </w:div>
    <w:div w:id="134226353">
      <w:bodyDiv w:val="1"/>
      <w:marLeft w:val="0"/>
      <w:marRight w:val="0"/>
      <w:marTop w:val="0"/>
      <w:marBottom w:val="0"/>
      <w:divBdr>
        <w:top w:val="none" w:sz="0" w:space="0" w:color="auto"/>
        <w:left w:val="none" w:sz="0" w:space="0" w:color="auto"/>
        <w:bottom w:val="none" w:sz="0" w:space="0" w:color="auto"/>
        <w:right w:val="none" w:sz="0" w:space="0" w:color="auto"/>
      </w:divBdr>
    </w:div>
    <w:div w:id="145706577">
      <w:bodyDiv w:val="1"/>
      <w:marLeft w:val="0"/>
      <w:marRight w:val="0"/>
      <w:marTop w:val="0"/>
      <w:marBottom w:val="0"/>
      <w:divBdr>
        <w:top w:val="none" w:sz="0" w:space="0" w:color="auto"/>
        <w:left w:val="none" w:sz="0" w:space="0" w:color="auto"/>
        <w:bottom w:val="none" w:sz="0" w:space="0" w:color="auto"/>
        <w:right w:val="none" w:sz="0" w:space="0" w:color="auto"/>
      </w:divBdr>
    </w:div>
    <w:div w:id="170530330">
      <w:bodyDiv w:val="1"/>
      <w:marLeft w:val="0"/>
      <w:marRight w:val="0"/>
      <w:marTop w:val="0"/>
      <w:marBottom w:val="0"/>
      <w:divBdr>
        <w:top w:val="none" w:sz="0" w:space="0" w:color="auto"/>
        <w:left w:val="none" w:sz="0" w:space="0" w:color="auto"/>
        <w:bottom w:val="none" w:sz="0" w:space="0" w:color="auto"/>
        <w:right w:val="none" w:sz="0" w:space="0" w:color="auto"/>
      </w:divBdr>
    </w:div>
    <w:div w:id="175920680">
      <w:bodyDiv w:val="1"/>
      <w:marLeft w:val="0"/>
      <w:marRight w:val="0"/>
      <w:marTop w:val="0"/>
      <w:marBottom w:val="0"/>
      <w:divBdr>
        <w:top w:val="none" w:sz="0" w:space="0" w:color="auto"/>
        <w:left w:val="none" w:sz="0" w:space="0" w:color="auto"/>
        <w:bottom w:val="none" w:sz="0" w:space="0" w:color="auto"/>
        <w:right w:val="none" w:sz="0" w:space="0" w:color="auto"/>
      </w:divBdr>
    </w:div>
    <w:div w:id="182061608">
      <w:bodyDiv w:val="1"/>
      <w:marLeft w:val="0"/>
      <w:marRight w:val="0"/>
      <w:marTop w:val="0"/>
      <w:marBottom w:val="0"/>
      <w:divBdr>
        <w:top w:val="none" w:sz="0" w:space="0" w:color="auto"/>
        <w:left w:val="none" w:sz="0" w:space="0" w:color="auto"/>
        <w:bottom w:val="none" w:sz="0" w:space="0" w:color="auto"/>
        <w:right w:val="none" w:sz="0" w:space="0" w:color="auto"/>
      </w:divBdr>
    </w:div>
    <w:div w:id="215898075">
      <w:bodyDiv w:val="1"/>
      <w:marLeft w:val="0"/>
      <w:marRight w:val="0"/>
      <w:marTop w:val="0"/>
      <w:marBottom w:val="0"/>
      <w:divBdr>
        <w:top w:val="none" w:sz="0" w:space="0" w:color="auto"/>
        <w:left w:val="none" w:sz="0" w:space="0" w:color="auto"/>
        <w:bottom w:val="none" w:sz="0" w:space="0" w:color="auto"/>
        <w:right w:val="none" w:sz="0" w:space="0" w:color="auto"/>
      </w:divBdr>
    </w:div>
    <w:div w:id="274753649">
      <w:bodyDiv w:val="1"/>
      <w:marLeft w:val="0"/>
      <w:marRight w:val="0"/>
      <w:marTop w:val="0"/>
      <w:marBottom w:val="0"/>
      <w:divBdr>
        <w:top w:val="none" w:sz="0" w:space="0" w:color="auto"/>
        <w:left w:val="none" w:sz="0" w:space="0" w:color="auto"/>
        <w:bottom w:val="none" w:sz="0" w:space="0" w:color="auto"/>
        <w:right w:val="none" w:sz="0" w:space="0" w:color="auto"/>
      </w:divBdr>
    </w:div>
    <w:div w:id="338198016">
      <w:bodyDiv w:val="1"/>
      <w:marLeft w:val="0"/>
      <w:marRight w:val="0"/>
      <w:marTop w:val="0"/>
      <w:marBottom w:val="0"/>
      <w:divBdr>
        <w:top w:val="none" w:sz="0" w:space="0" w:color="auto"/>
        <w:left w:val="none" w:sz="0" w:space="0" w:color="auto"/>
        <w:bottom w:val="none" w:sz="0" w:space="0" w:color="auto"/>
        <w:right w:val="none" w:sz="0" w:space="0" w:color="auto"/>
      </w:divBdr>
    </w:div>
    <w:div w:id="391931588">
      <w:bodyDiv w:val="1"/>
      <w:marLeft w:val="0"/>
      <w:marRight w:val="0"/>
      <w:marTop w:val="0"/>
      <w:marBottom w:val="0"/>
      <w:divBdr>
        <w:top w:val="none" w:sz="0" w:space="0" w:color="auto"/>
        <w:left w:val="none" w:sz="0" w:space="0" w:color="auto"/>
        <w:bottom w:val="none" w:sz="0" w:space="0" w:color="auto"/>
        <w:right w:val="none" w:sz="0" w:space="0" w:color="auto"/>
      </w:divBdr>
    </w:div>
    <w:div w:id="441648669">
      <w:bodyDiv w:val="1"/>
      <w:marLeft w:val="0"/>
      <w:marRight w:val="0"/>
      <w:marTop w:val="0"/>
      <w:marBottom w:val="0"/>
      <w:divBdr>
        <w:top w:val="none" w:sz="0" w:space="0" w:color="auto"/>
        <w:left w:val="none" w:sz="0" w:space="0" w:color="auto"/>
        <w:bottom w:val="none" w:sz="0" w:space="0" w:color="auto"/>
        <w:right w:val="none" w:sz="0" w:space="0" w:color="auto"/>
      </w:divBdr>
    </w:div>
    <w:div w:id="474878023">
      <w:bodyDiv w:val="1"/>
      <w:marLeft w:val="0"/>
      <w:marRight w:val="0"/>
      <w:marTop w:val="0"/>
      <w:marBottom w:val="0"/>
      <w:divBdr>
        <w:top w:val="none" w:sz="0" w:space="0" w:color="auto"/>
        <w:left w:val="none" w:sz="0" w:space="0" w:color="auto"/>
        <w:bottom w:val="none" w:sz="0" w:space="0" w:color="auto"/>
        <w:right w:val="none" w:sz="0" w:space="0" w:color="auto"/>
      </w:divBdr>
    </w:div>
    <w:div w:id="489174802">
      <w:bodyDiv w:val="1"/>
      <w:marLeft w:val="0"/>
      <w:marRight w:val="0"/>
      <w:marTop w:val="0"/>
      <w:marBottom w:val="0"/>
      <w:divBdr>
        <w:top w:val="none" w:sz="0" w:space="0" w:color="auto"/>
        <w:left w:val="none" w:sz="0" w:space="0" w:color="auto"/>
        <w:bottom w:val="none" w:sz="0" w:space="0" w:color="auto"/>
        <w:right w:val="none" w:sz="0" w:space="0" w:color="auto"/>
      </w:divBdr>
    </w:div>
    <w:div w:id="501625792">
      <w:bodyDiv w:val="1"/>
      <w:marLeft w:val="0"/>
      <w:marRight w:val="0"/>
      <w:marTop w:val="0"/>
      <w:marBottom w:val="0"/>
      <w:divBdr>
        <w:top w:val="none" w:sz="0" w:space="0" w:color="auto"/>
        <w:left w:val="none" w:sz="0" w:space="0" w:color="auto"/>
        <w:bottom w:val="none" w:sz="0" w:space="0" w:color="auto"/>
        <w:right w:val="none" w:sz="0" w:space="0" w:color="auto"/>
      </w:divBdr>
    </w:div>
    <w:div w:id="518080227">
      <w:bodyDiv w:val="1"/>
      <w:marLeft w:val="0"/>
      <w:marRight w:val="0"/>
      <w:marTop w:val="0"/>
      <w:marBottom w:val="0"/>
      <w:divBdr>
        <w:top w:val="none" w:sz="0" w:space="0" w:color="auto"/>
        <w:left w:val="none" w:sz="0" w:space="0" w:color="auto"/>
        <w:bottom w:val="none" w:sz="0" w:space="0" w:color="auto"/>
        <w:right w:val="none" w:sz="0" w:space="0" w:color="auto"/>
      </w:divBdr>
    </w:div>
    <w:div w:id="540016967">
      <w:bodyDiv w:val="1"/>
      <w:marLeft w:val="0"/>
      <w:marRight w:val="0"/>
      <w:marTop w:val="0"/>
      <w:marBottom w:val="0"/>
      <w:divBdr>
        <w:top w:val="none" w:sz="0" w:space="0" w:color="auto"/>
        <w:left w:val="none" w:sz="0" w:space="0" w:color="auto"/>
        <w:bottom w:val="none" w:sz="0" w:space="0" w:color="auto"/>
        <w:right w:val="none" w:sz="0" w:space="0" w:color="auto"/>
      </w:divBdr>
    </w:div>
    <w:div w:id="544365164">
      <w:bodyDiv w:val="1"/>
      <w:marLeft w:val="0"/>
      <w:marRight w:val="0"/>
      <w:marTop w:val="0"/>
      <w:marBottom w:val="0"/>
      <w:divBdr>
        <w:top w:val="none" w:sz="0" w:space="0" w:color="auto"/>
        <w:left w:val="none" w:sz="0" w:space="0" w:color="auto"/>
        <w:bottom w:val="none" w:sz="0" w:space="0" w:color="auto"/>
        <w:right w:val="none" w:sz="0" w:space="0" w:color="auto"/>
      </w:divBdr>
    </w:div>
    <w:div w:id="620840986">
      <w:bodyDiv w:val="1"/>
      <w:marLeft w:val="0"/>
      <w:marRight w:val="0"/>
      <w:marTop w:val="0"/>
      <w:marBottom w:val="0"/>
      <w:divBdr>
        <w:top w:val="none" w:sz="0" w:space="0" w:color="auto"/>
        <w:left w:val="none" w:sz="0" w:space="0" w:color="auto"/>
        <w:bottom w:val="none" w:sz="0" w:space="0" w:color="auto"/>
        <w:right w:val="none" w:sz="0" w:space="0" w:color="auto"/>
      </w:divBdr>
    </w:div>
    <w:div w:id="635719464">
      <w:bodyDiv w:val="1"/>
      <w:marLeft w:val="0"/>
      <w:marRight w:val="0"/>
      <w:marTop w:val="0"/>
      <w:marBottom w:val="0"/>
      <w:divBdr>
        <w:top w:val="none" w:sz="0" w:space="0" w:color="auto"/>
        <w:left w:val="none" w:sz="0" w:space="0" w:color="auto"/>
        <w:bottom w:val="none" w:sz="0" w:space="0" w:color="auto"/>
        <w:right w:val="none" w:sz="0" w:space="0" w:color="auto"/>
      </w:divBdr>
    </w:div>
    <w:div w:id="656106864">
      <w:bodyDiv w:val="1"/>
      <w:marLeft w:val="0"/>
      <w:marRight w:val="0"/>
      <w:marTop w:val="0"/>
      <w:marBottom w:val="0"/>
      <w:divBdr>
        <w:top w:val="none" w:sz="0" w:space="0" w:color="auto"/>
        <w:left w:val="none" w:sz="0" w:space="0" w:color="auto"/>
        <w:bottom w:val="none" w:sz="0" w:space="0" w:color="auto"/>
        <w:right w:val="none" w:sz="0" w:space="0" w:color="auto"/>
      </w:divBdr>
    </w:div>
    <w:div w:id="774979481">
      <w:bodyDiv w:val="1"/>
      <w:marLeft w:val="0"/>
      <w:marRight w:val="0"/>
      <w:marTop w:val="0"/>
      <w:marBottom w:val="0"/>
      <w:divBdr>
        <w:top w:val="none" w:sz="0" w:space="0" w:color="auto"/>
        <w:left w:val="none" w:sz="0" w:space="0" w:color="auto"/>
        <w:bottom w:val="none" w:sz="0" w:space="0" w:color="auto"/>
        <w:right w:val="none" w:sz="0" w:space="0" w:color="auto"/>
      </w:divBdr>
    </w:div>
    <w:div w:id="785081082">
      <w:bodyDiv w:val="1"/>
      <w:marLeft w:val="0"/>
      <w:marRight w:val="0"/>
      <w:marTop w:val="0"/>
      <w:marBottom w:val="0"/>
      <w:divBdr>
        <w:top w:val="none" w:sz="0" w:space="0" w:color="auto"/>
        <w:left w:val="none" w:sz="0" w:space="0" w:color="auto"/>
        <w:bottom w:val="none" w:sz="0" w:space="0" w:color="auto"/>
        <w:right w:val="none" w:sz="0" w:space="0" w:color="auto"/>
      </w:divBdr>
    </w:div>
    <w:div w:id="797458519">
      <w:bodyDiv w:val="1"/>
      <w:marLeft w:val="0"/>
      <w:marRight w:val="0"/>
      <w:marTop w:val="0"/>
      <w:marBottom w:val="0"/>
      <w:divBdr>
        <w:top w:val="none" w:sz="0" w:space="0" w:color="auto"/>
        <w:left w:val="none" w:sz="0" w:space="0" w:color="auto"/>
        <w:bottom w:val="none" w:sz="0" w:space="0" w:color="auto"/>
        <w:right w:val="none" w:sz="0" w:space="0" w:color="auto"/>
      </w:divBdr>
    </w:div>
    <w:div w:id="910308724">
      <w:bodyDiv w:val="1"/>
      <w:marLeft w:val="0"/>
      <w:marRight w:val="0"/>
      <w:marTop w:val="0"/>
      <w:marBottom w:val="0"/>
      <w:divBdr>
        <w:top w:val="none" w:sz="0" w:space="0" w:color="auto"/>
        <w:left w:val="none" w:sz="0" w:space="0" w:color="auto"/>
        <w:bottom w:val="none" w:sz="0" w:space="0" w:color="auto"/>
        <w:right w:val="none" w:sz="0" w:space="0" w:color="auto"/>
      </w:divBdr>
    </w:div>
    <w:div w:id="942080107">
      <w:bodyDiv w:val="1"/>
      <w:marLeft w:val="0"/>
      <w:marRight w:val="0"/>
      <w:marTop w:val="0"/>
      <w:marBottom w:val="0"/>
      <w:divBdr>
        <w:top w:val="none" w:sz="0" w:space="0" w:color="auto"/>
        <w:left w:val="none" w:sz="0" w:space="0" w:color="auto"/>
        <w:bottom w:val="none" w:sz="0" w:space="0" w:color="auto"/>
        <w:right w:val="none" w:sz="0" w:space="0" w:color="auto"/>
      </w:divBdr>
    </w:div>
    <w:div w:id="995911278">
      <w:bodyDiv w:val="1"/>
      <w:marLeft w:val="0"/>
      <w:marRight w:val="0"/>
      <w:marTop w:val="0"/>
      <w:marBottom w:val="0"/>
      <w:divBdr>
        <w:top w:val="none" w:sz="0" w:space="0" w:color="auto"/>
        <w:left w:val="none" w:sz="0" w:space="0" w:color="auto"/>
        <w:bottom w:val="none" w:sz="0" w:space="0" w:color="auto"/>
        <w:right w:val="none" w:sz="0" w:space="0" w:color="auto"/>
      </w:divBdr>
    </w:div>
    <w:div w:id="1051197636">
      <w:bodyDiv w:val="1"/>
      <w:marLeft w:val="0"/>
      <w:marRight w:val="0"/>
      <w:marTop w:val="0"/>
      <w:marBottom w:val="0"/>
      <w:divBdr>
        <w:top w:val="none" w:sz="0" w:space="0" w:color="auto"/>
        <w:left w:val="none" w:sz="0" w:space="0" w:color="auto"/>
        <w:bottom w:val="none" w:sz="0" w:space="0" w:color="auto"/>
        <w:right w:val="none" w:sz="0" w:space="0" w:color="auto"/>
      </w:divBdr>
    </w:div>
    <w:div w:id="1078331124">
      <w:bodyDiv w:val="1"/>
      <w:marLeft w:val="0"/>
      <w:marRight w:val="0"/>
      <w:marTop w:val="0"/>
      <w:marBottom w:val="0"/>
      <w:divBdr>
        <w:top w:val="none" w:sz="0" w:space="0" w:color="auto"/>
        <w:left w:val="none" w:sz="0" w:space="0" w:color="auto"/>
        <w:bottom w:val="none" w:sz="0" w:space="0" w:color="auto"/>
        <w:right w:val="none" w:sz="0" w:space="0" w:color="auto"/>
      </w:divBdr>
    </w:div>
    <w:div w:id="1097016499">
      <w:bodyDiv w:val="1"/>
      <w:marLeft w:val="0"/>
      <w:marRight w:val="0"/>
      <w:marTop w:val="0"/>
      <w:marBottom w:val="0"/>
      <w:divBdr>
        <w:top w:val="none" w:sz="0" w:space="0" w:color="auto"/>
        <w:left w:val="none" w:sz="0" w:space="0" w:color="auto"/>
        <w:bottom w:val="none" w:sz="0" w:space="0" w:color="auto"/>
        <w:right w:val="none" w:sz="0" w:space="0" w:color="auto"/>
      </w:divBdr>
    </w:div>
    <w:div w:id="1141926324">
      <w:bodyDiv w:val="1"/>
      <w:marLeft w:val="0"/>
      <w:marRight w:val="0"/>
      <w:marTop w:val="0"/>
      <w:marBottom w:val="0"/>
      <w:divBdr>
        <w:top w:val="none" w:sz="0" w:space="0" w:color="auto"/>
        <w:left w:val="none" w:sz="0" w:space="0" w:color="auto"/>
        <w:bottom w:val="none" w:sz="0" w:space="0" w:color="auto"/>
        <w:right w:val="none" w:sz="0" w:space="0" w:color="auto"/>
      </w:divBdr>
    </w:div>
    <w:div w:id="1142036325">
      <w:bodyDiv w:val="1"/>
      <w:marLeft w:val="0"/>
      <w:marRight w:val="0"/>
      <w:marTop w:val="0"/>
      <w:marBottom w:val="0"/>
      <w:divBdr>
        <w:top w:val="none" w:sz="0" w:space="0" w:color="auto"/>
        <w:left w:val="none" w:sz="0" w:space="0" w:color="auto"/>
        <w:bottom w:val="none" w:sz="0" w:space="0" w:color="auto"/>
        <w:right w:val="none" w:sz="0" w:space="0" w:color="auto"/>
      </w:divBdr>
    </w:div>
    <w:div w:id="1153066060">
      <w:bodyDiv w:val="1"/>
      <w:marLeft w:val="0"/>
      <w:marRight w:val="0"/>
      <w:marTop w:val="0"/>
      <w:marBottom w:val="0"/>
      <w:divBdr>
        <w:top w:val="none" w:sz="0" w:space="0" w:color="auto"/>
        <w:left w:val="none" w:sz="0" w:space="0" w:color="auto"/>
        <w:bottom w:val="none" w:sz="0" w:space="0" w:color="auto"/>
        <w:right w:val="none" w:sz="0" w:space="0" w:color="auto"/>
      </w:divBdr>
    </w:div>
    <w:div w:id="1156803449">
      <w:bodyDiv w:val="1"/>
      <w:marLeft w:val="0"/>
      <w:marRight w:val="0"/>
      <w:marTop w:val="0"/>
      <w:marBottom w:val="0"/>
      <w:divBdr>
        <w:top w:val="none" w:sz="0" w:space="0" w:color="auto"/>
        <w:left w:val="none" w:sz="0" w:space="0" w:color="auto"/>
        <w:bottom w:val="none" w:sz="0" w:space="0" w:color="auto"/>
        <w:right w:val="none" w:sz="0" w:space="0" w:color="auto"/>
      </w:divBdr>
    </w:div>
    <w:div w:id="1172179175">
      <w:bodyDiv w:val="1"/>
      <w:marLeft w:val="0"/>
      <w:marRight w:val="0"/>
      <w:marTop w:val="0"/>
      <w:marBottom w:val="0"/>
      <w:divBdr>
        <w:top w:val="none" w:sz="0" w:space="0" w:color="auto"/>
        <w:left w:val="none" w:sz="0" w:space="0" w:color="auto"/>
        <w:bottom w:val="none" w:sz="0" w:space="0" w:color="auto"/>
        <w:right w:val="none" w:sz="0" w:space="0" w:color="auto"/>
      </w:divBdr>
    </w:div>
    <w:div w:id="1192260220">
      <w:bodyDiv w:val="1"/>
      <w:marLeft w:val="0"/>
      <w:marRight w:val="0"/>
      <w:marTop w:val="0"/>
      <w:marBottom w:val="0"/>
      <w:divBdr>
        <w:top w:val="none" w:sz="0" w:space="0" w:color="auto"/>
        <w:left w:val="none" w:sz="0" w:space="0" w:color="auto"/>
        <w:bottom w:val="none" w:sz="0" w:space="0" w:color="auto"/>
        <w:right w:val="none" w:sz="0" w:space="0" w:color="auto"/>
      </w:divBdr>
    </w:div>
    <w:div w:id="1202858392">
      <w:bodyDiv w:val="1"/>
      <w:marLeft w:val="0"/>
      <w:marRight w:val="0"/>
      <w:marTop w:val="0"/>
      <w:marBottom w:val="0"/>
      <w:divBdr>
        <w:top w:val="none" w:sz="0" w:space="0" w:color="auto"/>
        <w:left w:val="none" w:sz="0" w:space="0" w:color="auto"/>
        <w:bottom w:val="none" w:sz="0" w:space="0" w:color="auto"/>
        <w:right w:val="none" w:sz="0" w:space="0" w:color="auto"/>
      </w:divBdr>
    </w:div>
    <w:div w:id="1228300562">
      <w:bodyDiv w:val="1"/>
      <w:marLeft w:val="0"/>
      <w:marRight w:val="0"/>
      <w:marTop w:val="0"/>
      <w:marBottom w:val="0"/>
      <w:divBdr>
        <w:top w:val="none" w:sz="0" w:space="0" w:color="auto"/>
        <w:left w:val="none" w:sz="0" w:space="0" w:color="auto"/>
        <w:bottom w:val="none" w:sz="0" w:space="0" w:color="auto"/>
        <w:right w:val="none" w:sz="0" w:space="0" w:color="auto"/>
      </w:divBdr>
    </w:div>
    <w:div w:id="1229799953">
      <w:bodyDiv w:val="1"/>
      <w:marLeft w:val="0"/>
      <w:marRight w:val="0"/>
      <w:marTop w:val="0"/>
      <w:marBottom w:val="0"/>
      <w:divBdr>
        <w:top w:val="none" w:sz="0" w:space="0" w:color="auto"/>
        <w:left w:val="none" w:sz="0" w:space="0" w:color="auto"/>
        <w:bottom w:val="none" w:sz="0" w:space="0" w:color="auto"/>
        <w:right w:val="none" w:sz="0" w:space="0" w:color="auto"/>
      </w:divBdr>
    </w:div>
    <w:div w:id="1235360497">
      <w:bodyDiv w:val="1"/>
      <w:marLeft w:val="0"/>
      <w:marRight w:val="0"/>
      <w:marTop w:val="0"/>
      <w:marBottom w:val="0"/>
      <w:divBdr>
        <w:top w:val="none" w:sz="0" w:space="0" w:color="auto"/>
        <w:left w:val="none" w:sz="0" w:space="0" w:color="auto"/>
        <w:bottom w:val="none" w:sz="0" w:space="0" w:color="auto"/>
        <w:right w:val="none" w:sz="0" w:space="0" w:color="auto"/>
      </w:divBdr>
    </w:div>
    <w:div w:id="1235553155">
      <w:bodyDiv w:val="1"/>
      <w:marLeft w:val="0"/>
      <w:marRight w:val="0"/>
      <w:marTop w:val="0"/>
      <w:marBottom w:val="0"/>
      <w:divBdr>
        <w:top w:val="none" w:sz="0" w:space="0" w:color="auto"/>
        <w:left w:val="none" w:sz="0" w:space="0" w:color="auto"/>
        <w:bottom w:val="none" w:sz="0" w:space="0" w:color="auto"/>
        <w:right w:val="none" w:sz="0" w:space="0" w:color="auto"/>
      </w:divBdr>
    </w:div>
    <w:div w:id="1252474500">
      <w:bodyDiv w:val="1"/>
      <w:marLeft w:val="0"/>
      <w:marRight w:val="0"/>
      <w:marTop w:val="0"/>
      <w:marBottom w:val="0"/>
      <w:divBdr>
        <w:top w:val="none" w:sz="0" w:space="0" w:color="auto"/>
        <w:left w:val="none" w:sz="0" w:space="0" w:color="auto"/>
        <w:bottom w:val="none" w:sz="0" w:space="0" w:color="auto"/>
        <w:right w:val="none" w:sz="0" w:space="0" w:color="auto"/>
      </w:divBdr>
    </w:div>
    <w:div w:id="1265189207">
      <w:bodyDiv w:val="1"/>
      <w:marLeft w:val="0"/>
      <w:marRight w:val="0"/>
      <w:marTop w:val="0"/>
      <w:marBottom w:val="0"/>
      <w:divBdr>
        <w:top w:val="none" w:sz="0" w:space="0" w:color="auto"/>
        <w:left w:val="none" w:sz="0" w:space="0" w:color="auto"/>
        <w:bottom w:val="none" w:sz="0" w:space="0" w:color="auto"/>
        <w:right w:val="none" w:sz="0" w:space="0" w:color="auto"/>
      </w:divBdr>
    </w:div>
    <w:div w:id="1280382157">
      <w:bodyDiv w:val="1"/>
      <w:marLeft w:val="0"/>
      <w:marRight w:val="0"/>
      <w:marTop w:val="0"/>
      <w:marBottom w:val="0"/>
      <w:divBdr>
        <w:top w:val="none" w:sz="0" w:space="0" w:color="auto"/>
        <w:left w:val="none" w:sz="0" w:space="0" w:color="auto"/>
        <w:bottom w:val="none" w:sz="0" w:space="0" w:color="auto"/>
        <w:right w:val="none" w:sz="0" w:space="0" w:color="auto"/>
      </w:divBdr>
    </w:div>
    <w:div w:id="1347560697">
      <w:bodyDiv w:val="1"/>
      <w:marLeft w:val="0"/>
      <w:marRight w:val="0"/>
      <w:marTop w:val="0"/>
      <w:marBottom w:val="0"/>
      <w:divBdr>
        <w:top w:val="none" w:sz="0" w:space="0" w:color="auto"/>
        <w:left w:val="none" w:sz="0" w:space="0" w:color="auto"/>
        <w:bottom w:val="none" w:sz="0" w:space="0" w:color="auto"/>
        <w:right w:val="none" w:sz="0" w:space="0" w:color="auto"/>
      </w:divBdr>
    </w:div>
    <w:div w:id="1352955484">
      <w:bodyDiv w:val="1"/>
      <w:marLeft w:val="0"/>
      <w:marRight w:val="0"/>
      <w:marTop w:val="0"/>
      <w:marBottom w:val="0"/>
      <w:divBdr>
        <w:top w:val="none" w:sz="0" w:space="0" w:color="auto"/>
        <w:left w:val="none" w:sz="0" w:space="0" w:color="auto"/>
        <w:bottom w:val="none" w:sz="0" w:space="0" w:color="auto"/>
        <w:right w:val="none" w:sz="0" w:space="0" w:color="auto"/>
      </w:divBdr>
    </w:div>
    <w:div w:id="1432818663">
      <w:bodyDiv w:val="1"/>
      <w:marLeft w:val="0"/>
      <w:marRight w:val="0"/>
      <w:marTop w:val="0"/>
      <w:marBottom w:val="0"/>
      <w:divBdr>
        <w:top w:val="none" w:sz="0" w:space="0" w:color="auto"/>
        <w:left w:val="none" w:sz="0" w:space="0" w:color="auto"/>
        <w:bottom w:val="none" w:sz="0" w:space="0" w:color="auto"/>
        <w:right w:val="none" w:sz="0" w:space="0" w:color="auto"/>
      </w:divBdr>
    </w:div>
    <w:div w:id="1477451535">
      <w:bodyDiv w:val="1"/>
      <w:marLeft w:val="0"/>
      <w:marRight w:val="0"/>
      <w:marTop w:val="0"/>
      <w:marBottom w:val="0"/>
      <w:divBdr>
        <w:top w:val="none" w:sz="0" w:space="0" w:color="auto"/>
        <w:left w:val="none" w:sz="0" w:space="0" w:color="auto"/>
        <w:bottom w:val="none" w:sz="0" w:space="0" w:color="auto"/>
        <w:right w:val="none" w:sz="0" w:space="0" w:color="auto"/>
      </w:divBdr>
    </w:div>
    <w:div w:id="1485852417">
      <w:bodyDiv w:val="1"/>
      <w:marLeft w:val="0"/>
      <w:marRight w:val="0"/>
      <w:marTop w:val="0"/>
      <w:marBottom w:val="0"/>
      <w:divBdr>
        <w:top w:val="none" w:sz="0" w:space="0" w:color="auto"/>
        <w:left w:val="none" w:sz="0" w:space="0" w:color="auto"/>
        <w:bottom w:val="none" w:sz="0" w:space="0" w:color="auto"/>
        <w:right w:val="none" w:sz="0" w:space="0" w:color="auto"/>
      </w:divBdr>
    </w:div>
    <w:div w:id="1494107364">
      <w:bodyDiv w:val="1"/>
      <w:marLeft w:val="0"/>
      <w:marRight w:val="0"/>
      <w:marTop w:val="0"/>
      <w:marBottom w:val="0"/>
      <w:divBdr>
        <w:top w:val="none" w:sz="0" w:space="0" w:color="auto"/>
        <w:left w:val="none" w:sz="0" w:space="0" w:color="auto"/>
        <w:bottom w:val="none" w:sz="0" w:space="0" w:color="auto"/>
        <w:right w:val="none" w:sz="0" w:space="0" w:color="auto"/>
      </w:divBdr>
    </w:div>
    <w:div w:id="1500538793">
      <w:bodyDiv w:val="1"/>
      <w:marLeft w:val="0"/>
      <w:marRight w:val="0"/>
      <w:marTop w:val="0"/>
      <w:marBottom w:val="0"/>
      <w:divBdr>
        <w:top w:val="none" w:sz="0" w:space="0" w:color="auto"/>
        <w:left w:val="none" w:sz="0" w:space="0" w:color="auto"/>
        <w:bottom w:val="none" w:sz="0" w:space="0" w:color="auto"/>
        <w:right w:val="none" w:sz="0" w:space="0" w:color="auto"/>
      </w:divBdr>
    </w:div>
    <w:div w:id="1504511912">
      <w:bodyDiv w:val="1"/>
      <w:marLeft w:val="0"/>
      <w:marRight w:val="0"/>
      <w:marTop w:val="0"/>
      <w:marBottom w:val="0"/>
      <w:divBdr>
        <w:top w:val="none" w:sz="0" w:space="0" w:color="auto"/>
        <w:left w:val="none" w:sz="0" w:space="0" w:color="auto"/>
        <w:bottom w:val="none" w:sz="0" w:space="0" w:color="auto"/>
        <w:right w:val="none" w:sz="0" w:space="0" w:color="auto"/>
      </w:divBdr>
    </w:div>
    <w:div w:id="1526408206">
      <w:bodyDiv w:val="1"/>
      <w:marLeft w:val="0"/>
      <w:marRight w:val="0"/>
      <w:marTop w:val="0"/>
      <w:marBottom w:val="0"/>
      <w:divBdr>
        <w:top w:val="none" w:sz="0" w:space="0" w:color="auto"/>
        <w:left w:val="none" w:sz="0" w:space="0" w:color="auto"/>
        <w:bottom w:val="none" w:sz="0" w:space="0" w:color="auto"/>
        <w:right w:val="none" w:sz="0" w:space="0" w:color="auto"/>
      </w:divBdr>
    </w:div>
    <w:div w:id="1556349505">
      <w:bodyDiv w:val="1"/>
      <w:marLeft w:val="0"/>
      <w:marRight w:val="0"/>
      <w:marTop w:val="0"/>
      <w:marBottom w:val="0"/>
      <w:divBdr>
        <w:top w:val="none" w:sz="0" w:space="0" w:color="auto"/>
        <w:left w:val="none" w:sz="0" w:space="0" w:color="auto"/>
        <w:bottom w:val="none" w:sz="0" w:space="0" w:color="auto"/>
        <w:right w:val="none" w:sz="0" w:space="0" w:color="auto"/>
      </w:divBdr>
    </w:div>
    <w:div w:id="1576813598">
      <w:bodyDiv w:val="1"/>
      <w:marLeft w:val="0"/>
      <w:marRight w:val="0"/>
      <w:marTop w:val="0"/>
      <w:marBottom w:val="0"/>
      <w:divBdr>
        <w:top w:val="none" w:sz="0" w:space="0" w:color="auto"/>
        <w:left w:val="none" w:sz="0" w:space="0" w:color="auto"/>
        <w:bottom w:val="none" w:sz="0" w:space="0" w:color="auto"/>
        <w:right w:val="none" w:sz="0" w:space="0" w:color="auto"/>
      </w:divBdr>
    </w:div>
    <w:div w:id="1588886794">
      <w:bodyDiv w:val="1"/>
      <w:marLeft w:val="0"/>
      <w:marRight w:val="0"/>
      <w:marTop w:val="0"/>
      <w:marBottom w:val="0"/>
      <w:divBdr>
        <w:top w:val="none" w:sz="0" w:space="0" w:color="auto"/>
        <w:left w:val="none" w:sz="0" w:space="0" w:color="auto"/>
        <w:bottom w:val="none" w:sz="0" w:space="0" w:color="auto"/>
        <w:right w:val="none" w:sz="0" w:space="0" w:color="auto"/>
      </w:divBdr>
    </w:div>
    <w:div w:id="1609384373">
      <w:bodyDiv w:val="1"/>
      <w:marLeft w:val="0"/>
      <w:marRight w:val="0"/>
      <w:marTop w:val="0"/>
      <w:marBottom w:val="0"/>
      <w:divBdr>
        <w:top w:val="none" w:sz="0" w:space="0" w:color="auto"/>
        <w:left w:val="none" w:sz="0" w:space="0" w:color="auto"/>
        <w:bottom w:val="none" w:sz="0" w:space="0" w:color="auto"/>
        <w:right w:val="none" w:sz="0" w:space="0" w:color="auto"/>
      </w:divBdr>
    </w:div>
    <w:div w:id="1624531268">
      <w:bodyDiv w:val="1"/>
      <w:marLeft w:val="0"/>
      <w:marRight w:val="0"/>
      <w:marTop w:val="0"/>
      <w:marBottom w:val="0"/>
      <w:divBdr>
        <w:top w:val="none" w:sz="0" w:space="0" w:color="auto"/>
        <w:left w:val="none" w:sz="0" w:space="0" w:color="auto"/>
        <w:bottom w:val="none" w:sz="0" w:space="0" w:color="auto"/>
        <w:right w:val="none" w:sz="0" w:space="0" w:color="auto"/>
      </w:divBdr>
      <w:divsChild>
        <w:div w:id="420950811">
          <w:marLeft w:val="0"/>
          <w:marRight w:val="0"/>
          <w:marTop w:val="0"/>
          <w:marBottom w:val="0"/>
          <w:divBdr>
            <w:top w:val="single" w:sz="2" w:space="0" w:color="auto"/>
            <w:left w:val="single" w:sz="2" w:space="0" w:color="auto"/>
            <w:bottom w:val="single" w:sz="6" w:space="0" w:color="auto"/>
            <w:right w:val="single" w:sz="2" w:space="0" w:color="auto"/>
          </w:divBdr>
          <w:divsChild>
            <w:div w:id="1211117051">
              <w:marLeft w:val="0"/>
              <w:marRight w:val="0"/>
              <w:marTop w:val="0"/>
              <w:marBottom w:val="0"/>
              <w:divBdr>
                <w:top w:val="single" w:sz="2" w:space="0" w:color="auto"/>
                <w:left w:val="single" w:sz="2" w:space="0" w:color="auto"/>
                <w:bottom w:val="single" w:sz="2" w:space="0" w:color="auto"/>
                <w:right w:val="single" w:sz="2" w:space="0" w:color="auto"/>
              </w:divBdr>
              <w:divsChild>
                <w:div w:id="75058144">
                  <w:marLeft w:val="0"/>
                  <w:marRight w:val="0"/>
                  <w:marTop w:val="0"/>
                  <w:marBottom w:val="0"/>
                  <w:divBdr>
                    <w:top w:val="single" w:sz="2" w:space="0" w:color="auto"/>
                    <w:left w:val="single" w:sz="2" w:space="0" w:color="auto"/>
                    <w:bottom w:val="single" w:sz="2" w:space="0" w:color="auto"/>
                    <w:right w:val="single" w:sz="2" w:space="0" w:color="auto"/>
                  </w:divBdr>
                </w:div>
                <w:div w:id="1845439967">
                  <w:marLeft w:val="0"/>
                  <w:marRight w:val="0"/>
                  <w:marTop w:val="0"/>
                  <w:marBottom w:val="0"/>
                  <w:divBdr>
                    <w:top w:val="single" w:sz="2" w:space="0" w:color="auto"/>
                    <w:left w:val="single" w:sz="2" w:space="0" w:color="auto"/>
                    <w:bottom w:val="single" w:sz="2" w:space="0" w:color="auto"/>
                    <w:right w:val="single" w:sz="2" w:space="0" w:color="auto"/>
                  </w:divBdr>
                  <w:divsChild>
                    <w:div w:id="139939832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672492312">
      <w:bodyDiv w:val="1"/>
      <w:marLeft w:val="0"/>
      <w:marRight w:val="0"/>
      <w:marTop w:val="0"/>
      <w:marBottom w:val="0"/>
      <w:divBdr>
        <w:top w:val="none" w:sz="0" w:space="0" w:color="auto"/>
        <w:left w:val="none" w:sz="0" w:space="0" w:color="auto"/>
        <w:bottom w:val="none" w:sz="0" w:space="0" w:color="auto"/>
        <w:right w:val="none" w:sz="0" w:space="0" w:color="auto"/>
      </w:divBdr>
    </w:div>
    <w:div w:id="1706253747">
      <w:bodyDiv w:val="1"/>
      <w:marLeft w:val="0"/>
      <w:marRight w:val="0"/>
      <w:marTop w:val="0"/>
      <w:marBottom w:val="0"/>
      <w:divBdr>
        <w:top w:val="none" w:sz="0" w:space="0" w:color="auto"/>
        <w:left w:val="none" w:sz="0" w:space="0" w:color="auto"/>
        <w:bottom w:val="none" w:sz="0" w:space="0" w:color="auto"/>
        <w:right w:val="none" w:sz="0" w:space="0" w:color="auto"/>
      </w:divBdr>
    </w:div>
    <w:div w:id="1791507078">
      <w:bodyDiv w:val="1"/>
      <w:marLeft w:val="0"/>
      <w:marRight w:val="0"/>
      <w:marTop w:val="0"/>
      <w:marBottom w:val="0"/>
      <w:divBdr>
        <w:top w:val="none" w:sz="0" w:space="0" w:color="auto"/>
        <w:left w:val="none" w:sz="0" w:space="0" w:color="auto"/>
        <w:bottom w:val="none" w:sz="0" w:space="0" w:color="auto"/>
        <w:right w:val="none" w:sz="0" w:space="0" w:color="auto"/>
      </w:divBdr>
    </w:div>
    <w:div w:id="1797021934">
      <w:bodyDiv w:val="1"/>
      <w:marLeft w:val="0"/>
      <w:marRight w:val="0"/>
      <w:marTop w:val="0"/>
      <w:marBottom w:val="0"/>
      <w:divBdr>
        <w:top w:val="none" w:sz="0" w:space="0" w:color="auto"/>
        <w:left w:val="none" w:sz="0" w:space="0" w:color="auto"/>
        <w:bottom w:val="none" w:sz="0" w:space="0" w:color="auto"/>
        <w:right w:val="none" w:sz="0" w:space="0" w:color="auto"/>
      </w:divBdr>
    </w:div>
    <w:div w:id="1797605719">
      <w:bodyDiv w:val="1"/>
      <w:marLeft w:val="0"/>
      <w:marRight w:val="0"/>
      <w:marTop w:val="0"/>
      <w:marBottom w:val="0"/>
      <w:divBdr>
        <w:top w:val="none" w:sz="0" w:space="0" w:color="auto"/>
        <w:left w:val="none" w:sz="0" w:space="0" w:color="auto"/>
        <w:bottom w:val="none" w:sz="0" w:space="0" w:color="auto"/>
        <w:right w:val="none" w:sz="0" w:space="0" w:color="auto"/>
      </w:divBdr>
    </w:div>
    <w:div w:id="1822694182">
      <w:bodyDiv w:val="1"/>
      <w:marLeft w:val="0"/>
      <w:marRight w:val="0"/>
      <w:marTop w:val="0"/>
      <w:marBottom w:val="0"/>
      <w:divBdr>
        <w:top w:val="none" w:sz="0" w:space="0" w:color="auto"/>
        <w:left w:val="none" w:sz="0" w:space="0" w:color="auto"/>
        <w:bottom w:val="none" w:sz="0" w:space="0" w:color="auto"/>
        <w:right w:val="none" w:sz="0" w:space="0" w:color="auto"/>
      </w:divBdr>
    </w:div>
    <w:div w:id="1825658478">
      <w:bodyDiv w:val="1"/>
      <w:marLeft w:val="0"/>
      <w:marRight w:val="0"/>
      <w:marTop w:val="0"/>
      <w:marBottom w:val="0"/>
      <w:divBdr>
        <w:top w:val="none" w:sz="0" w:space="0" w:color="auto"/>
        <w:left w:val="none" w:sz="0" w:space="0" w:color="auto"/>
        <w:bottom w:val="none" w:sz="0" w:space="0" w:color="auto"/>
        <w:right w:val="none" w:sz="0" w:space="0" w:color="auto"/>
      </w:divBdr>
    </w:div>
    <w:div w:id="1826357521">
      <w:bodyDiv w:val="1"/>
      <w:marLeft w:val="0"/>
      <w:marRight w:val="0"/>
      <w:marTop w:val="0"/>
      <w:marBottom w:val="0"/>
      <w:divBdr>
        <w:top w:val="none" w:sz="0" w:space="0" w:color="auto"/>
        <w:left w:val="none" w:sz="0" w:space="0" w:color="auto"/>
        <w:bottom w:val="none" w:sz="0" w:space="0" w:color="auto"/>
        <w:right w:val="none" w:sz="0" w:space="0" w:color="auto"/>
      </w:divBdr>
    </w:div>
    <w:div w:id="1850635850">
      <w:bodyDiv w:val="1"/>
      <w:marLeft w:val="0"/>
      <w:marRight w:val="0"/>
      <w:marTop w:val="0"/>
      <w:marBottom w:val="0"/>
      <w:divBdr>
        <w:top w:val="none" w:sz="0" w:space="0" w:color="auto"/>
        <w:left w:val="none" w:sz="0" w:space="0" w:color="auto"/>
        <w:bottom w:val="none" w:sz="0" w:space="0" w:color="auto"/>
        <w:right w:val="none" w:sz="0" w:space="0" w:color="auto"/>
      </w:divBdr>
    </w:div>
    <w:div w:id="1892689986">
      <w:bodyDiv w:val="1"/>
      <w:marLeft w:val="0"/>
      <w:marRight w:val="0"/>
      <w:marTop w:val="0"/>
      <w:marBottom w:val="0"/>
      <w:divBdr>
        <w:top w:val="none" w:sz="0" w:space="0" w:color="auto"/>
        <w:left w:val="none" w:sz="0" w:space="0" w:color="auto"/>
        <w:bottom w:val="none" w:sz="0" w:space="0" w:color="auto"/>
        <w:right w:val="none" w:sz="0" w:space="0" w:color="auto"/>
      </w:divBdr>
    </w:div>
    <w:div w:id="1898278596">
      <w:bodyDiv w:val="1"/>
      <w:marLeft w:val="0"/>
      <w:marRight w:val="0"/>
      <w:marTop w:val="0"/>
      <w:marBottom w:val="0"/>
      <w:divBdr>
        <w:top w:val="none" w:sz="0" w:space="0" w:color="auto"/>
        <w:left w:val="none" w:sz="0" w:space="0" w:color="auto"/>
        <w:bottom w:val="none" w:sz="0" w:space="0" w:color="auto"/>
        <w:right w:val="none" w:sz="0" w:space="0" w:color="auto"/>
      </w:divBdr>
    </w:div>
    <w:div w:id="1961717111">
      <w:bodyDiv w:val="1"/>
      <w:marLeft w:val="0"/>
      <w:marRight w:val="0"/>
      <w:marTop w:val="0"/>
      <w:marBottom w:val="0"/>
      <w:divBdr>
        <w:top w:val="none" w:sz="0" w:space="0" w:color="auto"/>
        <w:left w:val="none" w:sz="0" w:space="0" w:color="auto"/>
        <w:bottom w:val="none" w:sz="0" w:space="0" w:color="auto"/>
        <w:right w:val="none" w:sz="0" w:space="0" w:color="auto"/>
      </w:divBdr>
    </w:div>
    <w:div w:id="2018068503">
      <w:bodyDiv w:val="1"/>
      <w:marLeft w:val="0"/>
      <w:marRight w:val="0"/>
      <w:marTop w:val="0"/>
      <w:marBottom w:val="0"/>
      <w:divBdr>
        <w:top w:val="none" w:sz="0" w:space="0" w:color="auto"/>
        <w:left w:val="none" w:sz="0" w:space="0" w:color="auto"/>
        <w:bottom w:val="none" w:sz="0" w:space="0" w:color="auto"/>
        <w:right w:val="none" w:sz="0" w:space="0" w:color="auto"/>
      </w:divBdr>
    </w:div>
    <w:div w:id="2033220391">
      <w:bodyDiv w:val="1"/>
      <w:marLeft w:val="0"/>
      <w:marRight w:val="0"/>
      <w:marTop w:val="0"/>
      <w:marBottom w:val="0"/>
      <w:divBdr>
        <w:top w:val="none" w:sz="0" w:space="0" w:color="auto"/>
        <w:left w:val="none" w:sz="0" w:space="0" w:color="auto"/>
        <w:bottom w:val="none" w:sz="0" w:space="0" w:color="auto"/>
        <w:right w:val="none" w:sz="0" w:space="0" w:color="auto"/>
      </w:divBdr>
    </w:div>
    <w:div w:id="2063476579">
      <w:bodyDiv w:val="1"/>
      <w:marLeft w:val="0"/>
      <w:marRight w:val="0"/>
      <w:marTop w:val="0"/>
      <w:marBottom w:val="0"/>
      <w:divBdr>
        <w:top w:val="none" w:sz="0" w:space="0" w:color="auto"/>
        <w:left w:val="none" w:sz="0" w:space="0" w:color="auto"/>
        <w:bottom w:val="none" w:sz="0" w:space="0" w:color="auto"/>
        <w:right w:val="none" w:sz="0" w:space="0" w:color="auto"/>
      </w:divBdr>
    </w:div>
    <w:div w:id="2103329228">
      <w:bodyDiv w:val="1"/>
      <w:marLeft w:val="0"/>
      <w:marRight w:val="0"/>
      <w:marTop w:val="0"/>
      <w:marBottom w:val="0"/>
      <w:divBdr>
        <w:top w:val="none" w:sz="0" w:space="0" w:color="auto"/>
        <w:left w:val="none" w:sz="0" w:space="0" w:color="auto"/>
        <w:bottom w:val="none" w:sz="0" w:space="0" w:color="auto"/>
        <w:right w:val="none" w:sz="0" w:space="0" w:color="auto"/>
      </w:divBdr>
    </w:div>
    <w:div w:id="2114746634">
      <w:bodyDiv w:val="1"/>
      <w:marLeft w:val="0"/>
      <w:marRight w:val="0"/>
      <w:marTop w:val="0"/>
      <w:marBottom w:val="0"/>
      <w:divBdr>
        <w:top w:val="none" w:sz="0" w:space="0" w:color="auto"/>
        <w:left w:val="none" w:sz="0" w:space="0" w:color="auto"/>
        <w:bottom w:val="none" w:sz="0" w:space="0" w:color="auto"/>
        <w:right w:val="none" w:sz="0" w:space="0" w:color="auto"/>
      </w:divBdr>
    </w:div>
    <w:div w:id="2117017977">
      <w:bodyDiv w:val="1"/>
      <w:marLeft w:val="0"/>
      <w:marRight w:val="0"/>
      <w:marTop w:val="0"/>
      <w:marBottom w:val="0"/>
      <w:divBdr>
        <w:top w:val="none" w:sz="0" w:space="0" w:color="auto"/>
        <w:left w:val="none" w:sz="0" w:space="0" w:color="auto"/>
        <w:bottom w:val="none" w:sz="0" w:space="0" w:color="auto"/>
        <w:right w:val="none" w:sz="0" w:space="0" w:color="auto"/>
      </w:divBdr>
      <w:divsChild>
        <w:div w:id="2136824098">
          <w:marLeft w:val="0"/>
          <w:marRight w:val="0"/>
          <w:marTop w:val="0"/>
          <w:marBottom w:val="0"/>
          <w:divBdr>
            <w:top w:val="single" w:sz="2" w:space="0" w:color="auto"/>
            <w:left w:val="single" w:sz="2" w:space="0" w:color="auto"/>
            <w:bottom w:val="single" w:sz="2" w:space="0" w:color="auto"/>
            <w:right w:val="single" w:sz="2" w:space="0" w:color="auto"/>
          </w:divBdr>
        </w:div>
      </w:divsChild>
    </w:div>
    <w:div w:id="2122408832">
      <w:bodyDiv w:val="1"/>
      <w:marLeft w:val="0"/>
      <w:marRight w:val="0"/>
      <w:marTop w:val="0"/>
      <w:marBottom w:val="0"/>
      <w:divBdr>
        <w:top w:val="none" w:sz="0" w:space="0" w:color="auto"/>
        <w:left w:val="none" w:sz="0" w:space="0" w:color="auto"/>
        <w:bottom w:val="none" w:sz="0" w:space="0" w:color="auto"/>
        <w:right w:val="none" w:sz="0" w:space="0" w:color="auto"/>
      </w:divBdr>
    </w:div>
    <w:div w:id="2122457079">
      <w:bodyDiv w:val="1"/>
      <w:marLeft w:val="0"/>
      <w:marRight w:val="0"/>
      <w:marTop w:val="0"/>
      <w:marBottom w:val="0"/>
      <w:divBdr>
        <w:top w:val="none" w:sz="0" w:space="0" w:color="auto"/>
        <w:left w:val="none" w:sz="0" w:space="0" w:color="auto"/>
        <w:bottom w:val="none" w:sz="0" w:space="0" w:color="auto"/>
        <w:right w:val="none" w:sz="0" w:space="0" w:color="auto"/>
      </w:divBdr>
    </w:div>
    <w:div w:id="2138138782">
      <w:bodyDiv w:val="1"/>
      <w:marLeft w:val="0"/>
      <w:marRight w:val="0"/>
      <w:marTop w:val="0"/>
      <w:marBottom w:val="0"/>
      <w:divBdr>
        <w:top w:val="none" w:sz="0" w:space="0" w:color="auto"/>
        <w:left w:val="none" w:sz="0" w:space="0" w:color="auto"/>
        <w:bottom w:val="none" w:sz="0" w:space="0" w:color="auto"/>
        <w:right w:val="none" w:sz="0" w:space="0" w:color="auto"/>
      </w:divBdr>
    </w:div>
    <w:div w:id="2145001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hyperlink" Target="http://www.planalto.gov.br/ccivil_03/leis/l9613.htm" TargetMode="External"/><Relationship Id="rId3" Type="http://schemas.openxmlformats.org/officeDocument/2006/relationships/settings" Target="setting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197</TotalTime>
  <Pages>60</Pages>
  <Words>19888</Words>
  <Characters>107400</Characters>
  <Application>Microsoft Office Word</Application>
  <DocSecurity>0</DocSecurity>
  <Lines>895</Lines>
  <Paragraphs>254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Bacha</dc:creator>
  <cp:keywords/>
  <dc:description/>
  <cp:lastModifiedBy>Renato Bacha</cp:lastModifiedBy>
  <cp:revision>50</cp:revision>
  <dcterms:created xsi:type="dcterms:W3CDTF">2021-09-26T10:49:00Z</dcterms:created>
  <dcterms:modified xsi:type="dcterms:W3CDTF">2021-09-26T19:15:00Z</dcterms:modified>
</cp:coreProperties>
</file>